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center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便携式彩色多普勒超声波诊断仪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NYZBB-SBK-202200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9</w:t>
      </w:r>
    </w:p>
    <w:p>
      <w:pPr>
        <w:numPr>
          <w:ilvl w:val="0"/>
          <w:numId w:val="0"/>
        </w:numPr>
        <w:snapToGrid w:val="0"/>
        <w:spacing w:line="340" w:lineRule="exact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1"/>
        </w:numPr>
        <w:snapToGrid w:val="0"/>
        <w:spacing w:line="34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显示器：≥14寸，显示器角度可调范围≥30°；</w:t>
      </w:r>
    </w:p>
    <w:p>
      <w:pPr>
        <w:numPr>
          <w:ilvl w:val="0"/>
          <w:numId w:val="0"/>
        </w:numPr>
        <w:snapToGrid w:val="0"/>
        <w:spacing w:line="34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主机探头接口数≥2个，相互通用；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支持凸阵、线阵、腔内、相控阵探头；凸阵、线阵、相控阵探头具备穿刺引导功能，支持平面外中心引导线。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4、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内置存储空间≥120G， 支持扩展 1TB  SSD硬盘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5、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最大显示深度:≥35cm</w:t>
      </w:r>
    </w:p>
    <w:p>
      <w:pPr>
        <w:snapToGrid w:val="0"/>
        <w:spacing w:line="340" w:lineRule="exact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6、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二维灰阶：TGC ≥8段，动态范围: ≥200，可视可调 ，LGC≥8段；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7、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彩色多普勒：  血流速度可实现高速、中速、低速一键调节，双实时：B、B+C， 彩色增益：≥100dB  步长1dB。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right="0"/>
        <w:jc w:val="both"/>
        <w:textAlignment w:val="baseline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全自动纯水处理系统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  <w:t>NYZBB-SBK-20220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  <w:t>14</w:t>
      </w:r>
    </w:p>
    <w:p>
      <w:pP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leftChars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产水量≥3000L/h/套（25℃）。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产水水质 处理方式：单级反渗透纯水电导率：≤15μs/cm （25℃）符合消毒供应中心用水规范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240" w:lineRule="auto"/>
        <w:ind w:left="0" w:leftChars="0" w:right="0" w:firstLine="0" w:firstLineChars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供水系统采用恒压供水技术，供水同时受水箱液位或低压控制的双重控制，以实现整个系统的平衡、稳定运行和对水泵的保护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leftChars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4预处理系统 预处理系统由多介质过滤器、活性炭过滤器、软化过滤器、保安过滤器组成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5.控制方式：采用PLC全自动控制、触摸屏操作，在线显示电导率等参数。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leftChars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6.组成 水处理设备由预处理系统、反渗透系统、及纯水供水系统组成；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leftChars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管路要求高压部分：SUS304不锈钢 管路连接采用焊接方式、卫生级管路、内外抛光卡箍式连接方式，低压部分：优质U-PVC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leftChars="0" w:right="0"/>
        <w:jc w:val="both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7.纯水供水系统由卫生级不锈钢储水箱及纯水泵等组成纯水泵要求：材质为不锈钢，流量≥2m³/h、水箱：材质为不锈钢，佩带液位感应装置。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8.质保2年以上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90E77"/>
    <w:multiLevelType w:val="multilevel"/>
    <w:tmpl w:val="EE490E7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F606E57"/>
    <w:multiLevelType w:val="singleLevel"/>
    <w:tmpl w:val="5F606E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50AE"/>
    <w:rsid w:val="224950AE"/>
    <w:rsid w:val="2D5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910</Characters>
  <Lines>0</Lines>
  <Paragraphs>0</Paragraphs>
  <TotalTime>4</TotalTime>
  <ScaleCrop>false</ScaleCrop>
  <LinksUpToDate>false</LinksUpToDate>
  <CharactersWithSpaces>934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dcterms:modified xsi:type="dcterms:W3CDTF">2022-04-12T02:25:06Z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4AC06BCA9B924D0AA08A28B43A358F85</vt:lpwstr>
  </property>
</Properties>
</file>