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cs="宋体"/>
          <w:b/>
          <w:sz w:val="28"/>
          <w:szCs w:val="28"/>
          <w:lang w:bidi="ar"/>
        </w:rPr>
      </w:pPr>
      <w:r>
        <w:rPr>
          <w:rFonts w:hint="eastAsia" w:ascii="宋体" w:hAnsi="宋体" w:cs="宋体"/>
          <w:b/>
          <w:sz w:val="28"/>
          <w:szCs w:val="28"/>
          <w:lang w:bidi="ar"/>
        </w:rPr>
        <w:t>设备名称：</w:t>
      </w:r>
      <w:r>
        <w:rPr>
          <w:rFonts w:hint="eastAsia" w:ascii="宋体" w:hAnsi="宋体" w:cs="宋体"/>
          <w:b/>
          <w:sz w:val="28"/>
          <w:szCs w:val="28"/>
          <w:lang w:val="en-US" w:eastAsia="zh-CN" w:bidi="ar"/>
        </w:rPr>
        <w:t>医医学影像工作站（骨髓细胞学图像分析系统）</w:t>
      </w:r>
    </w:p>
    <w:p>
      <w:pPr>
        <w:pStyle w:val="4"/>
        <w:widowControl/>
        <w:spacing w:before="0" w:beforeAutospacing="0" w:after="0" w:afterAutospacing="0" w:line="525" w:lineRule="atLeast"/>
        <w:jc w:val="both"/>
        <w:textAlignment w:val="baseline"/>
        <w:rPr>
          <w:rFonts w:hint="default" w:ascii="宋体" w:hAnsi="宋体" w:eastAsia="宋体"/>
          <w:b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sz w:val="28"/>
          <w:szCs w:val="28"/>
          <w:lang w:bidi="ar"/>
        </w:rPr>
        <w:t>设备编号：NYZBB-SBK-20220</w:t>
      </w:r>
      <w:r>
        <w:rPr>
          <w:rFonts w:hint="eastAsia" w:ascii="宋体" w:hAnsi="宋体" w:cs="宋体"/>
          <w:b/>
          <w:sz w:val="28"/>
          <w:szCs w:val="28"/>
          <w:lang w:val="en-US" w:eastAsia="zh-CN" w:bidi="ar"/>
        </w:rPr>
        <w:t>51</w:t>
      </w:r>
    </w:p>
    <w:p>
      <w:pPr>
        <w:rPr>
          <w:rFonts w:hint="eastAsia" w:ascii="宋体" w:hAnsi="宋体" w:eastAsia="宋体"/>
          <w:b/>
          <w:sz w:val="28"/>
          <w:szCs w:val="28"/>
          <w:lang w:eastAsia="zh-CN"/>
        </w:rPr>
      </w:pPr>
      <w:r>
        <w:rPr>
          <w:rFonts w:hint="eastAsia" w:ascii="宋体" w:hAnsi="宋体" w:cs="宋体"/>
          <w:b/>
          <w:sz w:val="28"/>
          <w:szCs w:val="28"/>
          <w:lang w:bidi="ar"/>
        </w:rPr>
        <w:t>数</w:t>
      </w:r>
      <w:r>
        <w:rPr>
          <w:rFonts w:hint="eastAsia" w:ascii="宋体" w:hAnsi="宋体"/>
          <w:b/>
          <w:sz w:val="28"/>
          <w:szCs w:val="28"/>
          <w:lang w:bidi="ar"/>
        </w:rPr>
        <w:t xml:space="preserve">  </w:t>
      </w:r>
      <w:r>
        <w:rPr>
          <w:rFonts w:hint="eastAsia" w:ascii="宋体" w:hAnsi="宋体" w:cs="宋体"/>
          <w:b/>
          <w:sz w:val="28"/>
          <w:szCs w:val="28"/>
          <w:lang w:bidi="ar"/>
        </w:rPr>
        <w:t>量：</w:t>
      </w:r>
      <w:r>
        <w:rPr>
          <w:rFonts w:hint="eastAsia" w:ascii="宋体" w:hAnsi="宋体" w:cs="宋体"/>
          <w:b/>
          <w:sz w:val="28"/>
          <w:szCs w:val="28"/>
          <w:lang w:val="en-US" w:eastAsia="zh-CN" w:bidi="ar"/>
        </w:rPr>
        <w:t>1台</w:t>
      </w:r>
    </w:p>
    <w:p>
      <w:pPr>
        <w:jc w:val="center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  <w:lang w:bidi="ar"/>
        </w:rPr>
        <w:t>性能配置要求</w:t>
      </w:r>
    </w:p>
    <w:p>
      <w:pPr>
        <w:numPr>
          <w:ilvl w:val="0"/>
          <w:numId w:val="1"/>
        </w:numPr>
        <w:rPr>
          <w:rFonts w:hint="eastAsia" w:ascii="宋体" w:hAnsi="宋体" w:cs="宋体"/>
          <w:color w:val="333333"/>
          <w:kern w:val="0"/>
          <w:sz w:val="24"/>
        </w:rPr>
      </w:pPr>
      <w:r>
        <w:rPr>
          <w:rFonts w:hint="eastAsia" w:ascii="宋体" w:hAnsi="宋体" w:cs="宋体"/>
          <w:color w:val="333333"/>
          <w:kern w:val="0"/>
          <w:sz w:val="24"/>
        </w:rPr>
        <w:t>可使用专业SQL SERVER数据库等。</w:t>
      </w:r>
    </w:p>
    <w:p>
      <w:pPr>
        <w:numPr>
          <w:ilvl w:val="0"/>
          <w:numId w:val="1"/>
        </w:numPr>
        <w:rPr>
          <w:rFonts w:hint="eastAsia" w:ascii="宋体" w:hAnsi="宋体" w:cs="宋体"/>
          <w:color w:val="333333"/>
          <w:kern w:val="0"/>
          <w:sz w:val="24"/>
        </w:rPr>
      </w:pPr>
      <w:r>
        <w:rPr>
          <w:rFonts w:hint="eastAsia" w:ascii="宋体" w:hAnsi="宋体" w:cs="宋体"/>
          <w:color w:val="333333"/>
          <w:kern w:val="0"/>
          <w:sz w:val="24"/>
        </w:rPr>
        <w:t>系统全面支持视窗平台</w:t>
      </w:r>
    </w:p>
    <w:p>
      <w:pPr>
        <w:numPr>
          <w:ilvl w:val="0"/>
          <w:numId w:val="1"/>
        </w:numPr>
        <w:rPr>
          <w:rFonts w:hint="eastAsia" w:ascii="宋体" w:hAnsi="宋体" w:cs="宋体"/>
          <w:color w:val="333333"/>
          <w:kern w:val="0"/>
          <w:sz w:val="24"/>
        </w:rPr>
      </w:pPr>
      <w:r>
        <w:rPr>
          <w:rFonts w:hint="eastAsia" w:ascii="宋体" w:hAnsi="宋体" w:cs="宋体"/>
          <w:color w:val="333333"/>
          <w:kern w:val="0"/>
          <w:sz w:val="24"/>
        </w:rPr>
        <w:t>支持多流程</w:t>
      </w:r>
    </w:p>
    <w:p>
      <w:pPr>
        <w:numPr>
          <w:ilvl w:val="0"/>
          <w:numId w:val="1"/>
        </w:numPr>
        <w:rPr>
          <w:rFonts w:hint="eastAsia" w:ascii="宋体" w:hAnsi="宋体" w:cs="宋体"/>
          <w:color w:val="333333"/>
          <w:kern w:val="0"/>
          <w:sz w:val="24"/>
        </w:rPr>
      </w:pPr>
      <w:r>
        <w:rPr>
          <w:rFonts w:hint="eastAsia" w:ascii="宋体" w:hAnsi="宋体" w:cs="宋体"/>
          <w:color w:val="333333"/>
          <w:kern w:val="0"/>
          <w:sz w:val="24"/>
        </w:rPr>
        <w:t>自动计算细胞百分比、粒红比、粒系所占比率、红系所占比率</w:t>
      </w:r>
    </w:p>
    <w:p>
      <w:pPr>
        <w:numPr>
          <w:ilvl w:val="0"/>
          <w:numId w:val="1"/>
        </w:numPr>
        <w:rPr>
          <w:rFonts w:hint="eastAsia" w:ascii="宋体" w:hAnsi="宋体" w:cs="宋体"/>
          <w:color w:val="333333"/>
          <w:kern w:val="0"/>
          <w:sz w:val="24"/>
        </w:rPr>
      </w:pPr>
      <w:r>
        <w:rPr>
          <w:rFonts w:hint="eastAsia" w:ascii="宋体" w:hAnsi="宋体" w:cs="宋体"/>
          <w:color w:val="333333"/>
          <w:kern w:val="0"/>
          <w:sz w:val="24"/>
        </w:rPr>
        <w:t>细胞计数仪</w:t>
      </w:r>
    </w:p>
    <w:p>
      <w:pPr>
        <w:numPr>
          <w:ilvl w:val="0"/>
          <w:numId w:val="1"/>
        </w:numPr>
        <w:rPr>
          <w:rFonts w:hint="eastAsia" w:ascii="宋体" w:hAnsi="宋体" w:cs="宋体"/>
          <w:color w:val="333333"/>
          <w:kern w:val="0"/>
          <w:sz w:val="24"/>
        </w:rPr>
      </w:pPr>
      <w:r>
        <w:rPr>
          <w:rFonts w:hint="eastAsia" w:ascii="宋体" w:hAnsi="宋体" w:cs="宋体"/>
          <w:color w:val="333333"/>
          <w:kern w:val="0"/>
          <w:sz w:val="24"/>
        </w:rPr>
        <w:t>具备规范的开放性专业词库模板</w:t>
      </w:r>
    </w:p>
    <w:p>
      <w:pPr>
        <w:numPr>
          <w:ilvl w:val="0"/>
          <w:numId w:val="1"/>
        </w:numPr>
        <w:rPr>
          <w:rFonts w:hint="eastAsia" w:ascii="宋体" w:hAnsi="宋体" w:cs="宋体"/>
          <w:color w:val="333333"/>
          <w:kern w:val="0"/>
          <w:sz w:val="24"/>
        </w:rPr>
      </w:pPr>
      <w:r>
        <w:rPr>
          <w:rFonts w:hint="eastAsia" w:ascii="宋体" w:hAnsi="宋体" w:cs="宋体"/>
          <w:color w:val="333333"/>
          <w:kern w:val="0"/>
          <w:sz w:val="24"/>
        </w:rPr>
        <w:t>可根据多个条件来组合查询或统计病例</w:t>
      </w:r>
    </w:p>
    <w:p>
      <w:pPr>
        <w:numPr>
          <w:ilvl w:val="0"/>
          <w:numId w:val="1"/>
        </w:numPr>
        <w:rPr>
          <w:rFonts w:hint="eastAsia" w:ascii="宋体" w:hAnsi="宋体" w:cs="宋体"/>
          <w:color w:val="333333"/>
          <w:kern w:val="0"/>
          <w:sz w:val="24"/>
        </w:rPr>
      </w:pPr>
      <w:r>
        <w:rPr>
          <w:rFonts w:hint="eastAsia" w:ascii="宋体" w:hAnsi="宋体" w:cs="宋体"/>
          <w:color w:val="333333"/>
          <w:kern w:val="0"/>
          <w:sz w:val="24"/>
        </w:rPr>
        <w:t>高度灵活的报告单设计系统</w:t>
      </w:r>
    </w:p>
    <w:p>
      <w:pPr>
        <w:numPr>
          <w:ilvl w:val="0"/>
          <w:numId w:val="1"/>
        </w:numPr>
        <w:rPr>
          <w:rFonts w:hint="eastAsia" w:ascii="宋体" w:hAnsi="宋体" w:cs="宋体"/>
          <w:color w:val="333333"/>
          <w:kern w:val="0"/>
          <w:sz w:val="24"/>
        </w:rPr>
      </w:pPr>
      <w:r>
        <w:rPr>
          <w:rFonts w:hint="eastAsia" w:ascii="宋体" w:hAnsi="宋体" w:cs="宋体"/>
          <w:color w:val="333333"/>
          <w:kern w:val="0"/>
          <w:sz w:val="24"/>
        </w:rPr>
        <w:t>根据不同的图片张数，报告系统智能匹配模板</w:t>
      </w:r>
    </w:p>
    <w:p>
      <w:pPr>
        <w:numPr>
          <w:ilvl w:val="0"/>
          <w:numId w:val="1"/>
        </w:numPr>
        <w:rPr>
          <w:rFonts w:hint="eastAsia" w:ascii="宋体" w:hAnsi="宋体" w:cs="宋体"/>
          <w:color w:val="333333"/>
          <w:kern w:val="0"/>
          <w:sz w:val="24"/>
        </w:rPr>
      </w:pPr>
      <w:r>
        <w:rPr>
          <w:rFonts w:hint="eastAsia" w:ascii="宋体" w:hAnsi="宋体" w:cs="宋体"/>
          <w:color w:val="333333"/>
          <w:kern w:val="0"/>
          <w:sz w:val="24"/>
        </w:rPr>
        <w:t>报告打印完成后，提供自动审核、发布</w:t>
      </w:r>
    </w:p>
    <w:p>
      <w:pPr>
        <w:numPr>
          <w:ilvl w:val="0"/>
          <w:numId w:val="1"/>
        </w:numPr>
        <w:rPr>
          <w:rFonts w:hint="eastAsia" w:ascii="宋体" w:hAnsi="宋体" w:cs="宋体"/>
          <w:color w:val="333333"/>
          <w:kern w:val="0"/>
          <w:sz w:val="24"/>
        </w:rPr>
      </w:pPr>
      <w:r>
        <w:rPr>
          <w:rFonts w:hint="eastAsia" w:ascii="宋体" w:hAnsi="宋体" w:cs="宋体"/>
          <w:color w:val="333333"/>
          <w:kern w:val="0"/>
          <w:sz w:val="24"/>
        </w:rPr>
        <w:t>批量打印</w:t>
      </w:r>
    </w:p>
    <w:p>
      <w:pPr>
        <w:numPr>
          <w:ilvl w:val="0"/>
          <w:numId w:val="1"/>
        </w:numPr>
        <w:rPr>
          <w:rFonts w:hint="eastAsia" w:ascii="宋体" w:hAnsi="宋体" w:cs="宋体"/>
          <w:color w:val="333333"/>
          <w:kern w:val="0"/>
          <w:sz w:val="24"/>
        </w:rPr>
      </w:pPr>
      <w:r>
        <w:rPr>
          <w:rFonts w:hint="eastAsia" w:ascii="宋体" w:hAnsi="宋体" w:cs="宋体"/>
          <w:color w:val="333333"/>
          <w:kern w:val="0"/>
          <w:sz w:val="24"/>
        </w:rPr>
        <w:t>统计模块</w:t>
      </w:r>
    </w:p>
    <w:p>
      <w:pPr>
        <w:rPr>
          <w:rFonts w:hint="eastAsia" w:ascii="宋体" w:hAnsi="宋体" w:cs="宋体"/>
          <w:color w:val="333333"/>
          <w:kern w:val="0"/>
          <w:sz w:val="24"/>
        </w:rPr>
      </w:pPr>
      <w:r>
        <w:rPr>
          <w:rFonts w:hint="eastAsia" w:ascii="宋体" w:hAnsi="宋体" w:cs="宋体"/>
          <w:color w:val="333333"/>
          <w:kern w:val="0"/>
          <w:sz w:val="24"/>
        </w:rPr>
        <w:t>将患者的报告以Word文件方式导出，方便医师收集病例</w:t>
      </w:r>
    </w:p>
    <w:p>
      <w:pPr>
        <w:rPr>
          <w:rFonts w:hint="eastAsia" w:ascii="宋体" w:hAnsi="宋体" w:cs="宋体"/>
          <w:b/>
          <w:sz w:val="28"/>
          <w:szCs w:val="28"/>
          <w:lang w:bidi="ar"/>
        </w:rPr>
      </w:pPr>
    </w:p>
    <w:p>
      <w:pPr>
        <w:pStyle w:val="2"/>
        <w:rPr>
          <w:rFonts w:hint="eastAsia" w:ascii="宋体" w:hAnsi="宋体" w:cs="宋体"/>
          <w:b/>
          <w:sz w:val="28"/>
          <w:szCs w:val="28"/>
          <w:lang w:bidi="ar"/>
        </w:rPr>
      </w:pPr>
    </w:p>
    <w:p>
      <w:pPr>
        <w:pStyle w:val="2"/>
        <w:rPr>
          <w:rFonts w:hint="eastAsia" w:ascii="宋体" w:hAnsi="宋体" w:cs="宋体"/>
          <w:b/>
          <w:sz w:val="28"/>
          <w:szCs w:val="28"/>
          <w:lang w:bidi="ar"/>
        </w:rPr>
      </w:pPr>
    </w:p>
    <w:p>
      <w:pPr>
        <w:pStyle w:val="2"/>
        <w:rPr>
          <w:rFonts w:hint="eastAsia" w:ascii="宋体" w:hAnsi="宋体" w:cs="宋体"/>
          <w:b/>
          <w:sz w:val="28"/>
          <w:szCs w:val="28"/>
          <w:lang w:bidi="ar"/>
        </w:rPr>
      </w:pPr>
    </w:p>
    <w:p>
      <w:pPr>
        <w:pStyle w:val="2"/>
        <w:rPr>
          <w:rFonts w:hint="eastAsia" w:ascii="宋体" w:hAnsi="宋体" w:cs="宋体"/>
          <w:b/>
          <w:sz w:val="28"/>
          <w:szCs w:val="28"/>
          <w:lang w:bidi="ar"/>
        </w:rPr>
      </w:pPr>
      <w:bookmarkStart w:id="0" w:name="_GoBack"/>
      <w:bookmarkEnd w:id="0"/>
    </w:p>
    <w:p>
      <w:pPr>
        <w:rPr>
          <w:rFonts w:hint="eastAsia" w:ascii="宋体" w:hAnsi="宋体" w:cs="宋体"/>
          <w:b/>
          <w:sz w:val="28"/>
          <w:szCs w:val="28"/>
          <w:lang w:bidi="ar"/>
        </w:rPr>
      </w:pPr>
      <w:r>
        <w:rPr>
          <w:rFonts w:hint="eastAsia" w:ascii="宋体" w:hAnsi="宋体" w:cs="宋体"/>
          <w:b/>
          <w:sz w:val="28"/>
          <w:szCs w:val="28"/>
          <w:lang w:bidi="ar"/>
        </w:rPr>
        <w:t>设备名称：悬空式碳纤维骨科牵引架</w:t>
      </w:r>
    </w:p>
    <w:p>
      <w:pPr>
        <w:pStyle w:val="4"/>
        <w:widowControl/>
        <w:spacing w:before="0" w:beforeAutospacing="0" w:after="0" w:afterAutospacing="0" w:line="525" w:lineRule="atLeast"/>
        <w:jc w:val="both"/>
        <w:textAlignment w:val="baseline"/>
        <w:rPr>
          <w:rFonts w:hint="default" w:ascii="宋体" w:hAnsi="宋体" w:eastAsia="宋体"/>
          <w:b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sz w:val="28"/>
          <w:szCs w:val="28"/>
          <w:lang w:bidi="ar"/>
        </w:rPr>
        <w:t>设备编号：NYZBB-SBK-20220</w:t>
      </w:r>
      <w:r>
        <w:rPr>
          <w:rFonts w:hint="eastAsia" w:cs="宋体"/>
          <w:b/>
          <w:sz w:val="28"/>
          <w:szCs w:val="28"/>
          <w:lang w:val="en-US" w:eastAsia="zh-CN" w:bidi="ar"/>
        </w:rPr>
        <w:t>56</w:t>
      </w:r>
    </w:p>
    <w:p>
      <w:pPr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  <w:lang w:bidi="ar"/>
        </w:rPr>
        <w:t>数</w:t>
      </w:r>
      <w:r>
        <w:rPr>
          <w:rFonts w:hint="eastAsia" w:ascii="宋体" w:hAnsi="宋体"/>
          <w:b/>
          <w:sz w:val="28"/>
          <w:szCs w:val="28"/>
          <w:lang w:bidi="ar"/>
        </w:rPr>
        <w:t xml:space="preserve">  </w:t>
      </w:r>
      <w:r>
        <w:rPr>
          <w:rFonts w:hint="eastAsia" w:ascii="宋体" w:hAnsi="宋体" w:cs="宋体"/>
          <w:b/>
          <w:sz w:val="28"/>
          <w:szCs w:val="28"/>
          <w:lang w:bidi="ar"/>
        </w:rPr>
        <w:t>量：1台</w:t>
      </w:r>
    </w:p>
    <w:p>
      <w:pPr>
        <w:jc w:val="center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  <w:lang w:bidi="ar"/>
        </w:rPr>
        <w:t>性能配置要求</w:t>
      </w:r>
    </w:p>
    <w:p>
      <w:pPr>
        <w:spacing w:line="300" w:lineRule="auto"/>
        <w:jc w:val="left"/>
        <w:rPr>
          <w:rFonts w:ascii="宋体" w:hAnsi="宋体" w:cs="宋体"/>
          <w:b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一、性能要求：</w:t>
      </w:r>
    </w:p>
    <w:p>
      <w:pPr>
        <w:tabs>
          <w:tab w:val="left" w:pos="420"/>
          <w:tab w:val="left" w:pos="9660"/>
        </w:tabs>
        <w:spacing w:line="300" w:lineRule="auto"/>
        <w:ind w:left="434" w:leftChars="200" w:right="504" w:rightChars="240" w:hanging="14" w:hangingChars="6"/>
        <w:jc w:val="lef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 xml:space="preserve">（1）牵引外展臂、通用骨盆托板及会阴支杆皆由可透X光的碳纤维材质制成，为C臂的使用创造最大操作空间，保证透视影像不受牵引架的影响; </w:t>
      </w:r>
    </w:p>
    <w:p>
      <w:pPr>
        <w:tabs>
          <w:tab w:val="left" w:pos="420"/>
          <w:tab w:val="left" w:pos="9660"/>
        </w:tabs>
        <w:spacing w:line="300" w:lineRule="auto"/>
        <w:ind w:left="434" w:leftChars="200" w:right="504" w:rightChars="240" w:hanging="14" w:hangingChars="6"/>
        <w:jc w:val="lef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（2）附件材质要求为碳纤维材料，对拍片无影响的可采用铝合金，具有防腐蚀、易于清洁保养及消毒;</w:t>
      </w:r>
    </w:p>
    <w:p>
      <w:pPr>
        <w:tabs>
          <w:tab w:val="left" w:pos="420"/>
          <w:tab w:val="left" w:pos="9660"/>
        </w:tabs>
        <w:spacing w:line="300" w:lineRule="auto"/>
        <w:ind w:left="434" w:leftChars="200" w:right="504" w:rightChars="240" w:hanging="14" w:hangingChars="6"/>
        <w:jc w:val="lef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（4）牵引架载重＞250 kg;</w:t>
      </w:r>
    </w:p>
    <w:p>
      <w:pPr>
        <w:tabs>
          <w:tab w:val="left" w:pos="420"/>
          <w:tab w:val="left" w:pos="9660"/>
        </w:tabs>
        <w:spacing w:line="300" w:lineRule="auto"/>
        <w:ind w:left="434" w:leftChars="200" w:right="504" w:rightChars="240" w:hanging="14" w:hangingChars="6"/>
        <w:jc w:val="lef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（5）全方位两点定位配有精确数字刻度显示，便于医生术中牵引定位;</w:t>
      </w:r>
    </w:p>
    <w:p>
      <w:pPr>
        <w:tabs>
          <w:tab w:val="left" w:pos="420"/>
          <w:tab w:val="left" w:pos="9660"/>
        </w:tabs>
        <w:spacing w:line="300" w:lineRule="auto"/>
        <w:ind w:left="434" w:leftChars="200" w:right="504" w:rightChars="240" w:hanging="14" w:hangingChars="6"/>
        <w:jc w:val="lef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（6）旋转关节配有数字指示设计，便于医护人员根据使用经验记录各种手术适当外展臂相对角度，加快病患体位的设置。</w:t>
      </w:r>
    </w:p>
    <w:p>
      <w:pPr>
        <w:tabs>
          <w:tab w:val="left" w:pos="420"/>
          <w:tab w:val="left" w:pos="9660"/>
        </w:tabs>
        <w:spacing w:line="300" w:lineRule="auto"/>
        <w:ind w:left="434" w:leftChars="200" w:right="504" w:rightChars="240" w:hanging="14" w:hangingChars="6"/>
        <w:jc w:val="lef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 xml:space="preserve"> （7）产品</w:t>
      </w:r>
      <w:r>
        <w:rPr>
          <w:rFonts w:hint="eastAsia" w:ascii="宋体" w:hAnsi="宋体" w:cs="宋体"/>
          <w:sz w:val="24"/>
          <w:szCs w:val="24"/>
          <w:lang w:eastAsia="zh-CN"/>
        </w:rPr>
        <w:t>有</w:t>
      </w:r>
      <w:r>
        <w:rPr>
          <w:rFonts w:hint="eastAsia" w:ascii="宋体" w:hAnsi="宋体" w:cs="宋体"/>
          <w:sz w:val="24"/>
          <w:szCs w:val="24"/>
          <w:lang w:val="en-US" w:eastAsia="zh-CN"/>
        </w:rPr>
        <w:t>SFDA、</w:t>
      </w:r>
      <w:r>
        <w:rPr>
          <w:rFonts w:hint="eastAsia" w:ascii="宋体" w:hAnsi="宋体" w:cs="宋体"/>
          <w:sz w:val="24"/>
          <w:szCs w:val="24"/>
        </w:rPr>
        <w:t>CE、FDA、ETL质量认证证书</w:t>
      </w:r>
    </w:p>
    <w:p>
      <w:pPr>
        <w:spacing w:line="300" w:lineRule="auto"/>
        <w:ind w:left="1434" w:leftChars="-35" w:hanging="1507" w:hangingChars="628"/>
        <w:jc w:val="lef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二、参数要求：</w:t>
      </w:r>
    </w:p>
    <w:p>
      <w:pPr>
        <w:spacing w:line="300" w:lineRule="auto"/>
        <w:ind w:left="1360" w:leftChars="200" w:hanging="940" w:hangingChars="392"/>
        <w:jc w:val="lef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（1）短牵引段外展角度：0-180°；</w:t>
      </w:r>
    </w:p>
    <w:p>
      <w:pPr>
        <w:spacing w:line="300" w:lineRule="auto"/>
        <w:ind w:left="1360" w:leftChars="200" w:hanging="940" w:hangingChars="392"/>
        <w:jc w:val="lef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（2）长牵引段外展角度：0-180°；</w:t>
      </w:r>
    </w:p>
    <w:p>
      <w:pPr>
        <w:spacing w:line="300" w:lineRule="auto"/>
        <w:ind w:left="1360" w:leftChars="200" w:hanging="940" w:hangingChars="392"/>
        <w:jc w:val="lef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 xml:space="preserve">（3）牵引距离≥180mm; </w:t>
      </w:r>
    </w:p>
    <w:p>
      <w:pPr>
        <w:spacing w:line="300" w:lineRule="auto"/>
        <w:ind w:left="1360" w:leftChars="200" w:hanging="940" w:hangingChars="392"/>
        <w:jc w:val="lef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（4）高度调整≥4</w:t>
      </w:r>
      <w:r>
        <w:rPr>
          <w:rFonts w:hint="eastAsia" w:ascii="宋体" w:hAnsi="宋体" w:cs="宋体"/>
          <w:sz w:val="24"/>
          <w:szCs w:val="24"/>
          <w:lang w:val="en-US" w:eastAsia="zh-CN"/>
        </w:rPr>
        <w:t>5</w:t>
      </w:r>
      <w:r>
        <w:rPr>
          <w:rFonts w:hint="eastAsia" w:ascii="宋体" w:hAnsi="宋体" w:cs="宋体"/>
          <w:sz w:val="24"/>
          <w:szCs w:val="24"/>
        </w:rPr>
        <w:t>0mm;</w:t>
      </w:r>
    </w:p>
    <w:p>
      <w:pPr>
        <w:spacing w:line="300" w:lineRule="auto"/>
        <w:ind w:left="1360" w:leftChars="200" w:hanging="940" w:hangingChars="392"/>
        <w:jc w:val="lef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（5）延伸段调节长度≥1500mm。</w:t>
      </w:r>
    </w:p>
    <w:p>
      <w:pPr>
        <w:spacing w:line="300" w:lineRule="auto"/>
        <w:ind w:left="1434" w:leftChars="-35" w:hanging="1507" w:hangingChars="628"/>
        <w:jc w:val="left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cs="宋体"/>
          <w:sz w:val="24"/>
          <w:szCs w:val="24"/>
        </w:rPr>
        <w:t>三、配置要求</w:t>
      </w:r>
      <w:r>
        <w:rPr>
          <w:rFonts w:hint="eastAsia" w:ascii="宋体" w:hAnsi="宋体" w:cs="宋体"/>
          <w:sz w:val="24"/>
          <w:szCs w:val="24"/>
          <w:lang w:eastAsia="zh-CN"/>
        </w:rPr>
        <w:t>（不少于以下配置）</w:t>
      </w:r>
    </w:p>
    <w:tbl>
      <w:tblPr>
        <w:tblStyle w:val="5"/>
        <w:tblpPr w:leftFromText="180" w:rightFromText="180" w:vertAnchor="text" w:horzAnchor="page" w:tblpX="1578" w:tblpY="145"/>
        <w:tblOverlap w:val="never"/>
        <w:tblW w:w="770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402"/>
        <w:gridCol w:w="1298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atLeast"/>
        </w:trPr>
        <w:tc>
          <w:tcPr>
            <w:tcW w:w="640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（1）、圆承合器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1个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atLeast"/>
        </w:trPr>
        <w:tc>
          <w:tcPr>
            <w:tcW w:w="640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（2）、碳纤维通用骨盆托板及垫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1个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atLeast"/>
        </w:trPr>
        <w:tc>
          <w:tcPr>
            <w:tcW w:w="640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（3）、碳纤维会阴支杆及护套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1个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atLeast"/>
        </w:trPr>
        <w:tc>
          <w:tcPr>
            <w:tcW w:w="640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（4）、附件固定器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1个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atLeast"/>
        </w:trPr>
        <w:tc>
          <w:tcPr>
            <w:tcW w:w="640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（5）、胫骨&amp;侧姿抗拉支杆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1个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atLeast"/>
        </w:trPr>
        <w:tc>
          <w:tcPr>
            <w:tcW w:w="640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（6）、碳纤外展延伸杆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1个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atLeast"/>
        </w:trPr>
        <w:tc>
          <w:tcPr>
            <w:tcW w:w="640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（7）、牵引器安装基座，插杆式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1个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atLeast"/>
        </w:trPr>
        <w:tc>
          <w:tcPr>
            <w:tcW w:w="640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（8）、末端支撑杆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1个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atLeast"/>
        </w:trPr>
        <w:tc>
          <w:tcPr>
            <w:tcW w:w="640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（9）、牵引器组立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1个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atLeast"/>
        </w:trPr>
        <w:tc>
          <w:tcPr>
            <w:tcW w:w="640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（10）、牵引靴（成人）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1个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atLeast"/>
        </w:trPr>
        <w:tc>
          <w:tcPr>
            <w:tcW w:w="640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（11）、牵引靴保护垫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1个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atLeast"/>
        </w:trPr>
        <w:tc>
          <w:tcPr>
            <w:tcW w:w="640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（12）、托腿靴（左、右各1个）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1个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atLeast"/>
        </w:trPr>
        <w:tc>
          <w:tcPr>
            <w:tcW w:w="640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（13）、牵引架台车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 w:bidi="ar"/>
              </w:rPr>
              <w:t>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atLeast"/>
        </w:trPr>
        <w:tc>
          <w:tcPr>
            <w:tcW w:w="640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（14）、悬空手架（可上悬、下悬）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 w:bidi="ar"/>
              </w:rPr>
              <w:t>套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atLeast"/>
        </w:trPr>
        <w:tc>
          <w:tcPr>
            <w:tcW w:w="640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（1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）、侧身腰架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1个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atLeast"/>
        </w:trPr>
        <w:tc>
          <w:tcPr>
            <w:tcW w:w="640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（1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6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）、耻骨支撑架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1个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atLeast"/>
        </w:trPr>
        <w:tc>
          <w:tcPr>
            <w:tcW w:w="640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（1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7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）、方箝合器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1个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atLeast"/>
        </w:trPr>
        <w:tc>
          <w:tcPr>
            <w:tcW w:w="640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（1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）、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 w:bidi="ar"/>
              </w:rPr>
              <w:t>碳纤维运动医学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固定架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 w:bidi="ar"/>
              </w:rPr>
              <w:t>套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atLeast"/>
        </w:trPr>
        <w:tc>
          <w:tcPr>
            <w:tcW w:w="640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（1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9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）、马镫式腿靴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1对</w:t>
            </w:r>
          </w:p>
        </w:tc>
      </w:tr>
    </w:tbl>
    <w:p>
      <w:pPr>
        <w:ind w:left="1358" w:leftChars="200" w:hanging="938" w:hangingChars="391"/>
        <w:jc w:val="left"/>
        <w:rPr>
          <w:rFonts w:ascii="宋体" w:hAnsi="宋体" w:cs="宋体"/>
          <w:sz w:val="24"/>
          <w:szCs w:val="24"/>
        </w:rPr>
      </w:pPr>
    </w:p>
    <w:p>
      <w:pPr>
        <w:ind w:left="1358" w:leftChars="200" w:hanging="938" w:hangingChars="391"/>
        <w:jc w:val="left"/>
        <w:rPr>
          <w:rFonts w:ascii="宋体" w:hAnsi="宋体" w:cs="宋体"/>
          <w:sz w:val="24"/>
          <w:szCs w:val="24"/>
        </w:rPr>
      </w:pPr>
    </w:p>
    <w:p>
      <w:pPr>
        <w:ind w:left="1358" w:leftChars="200" w:hanging="938" w:hangingChars="391"/>
        <w:jc w:val="left"/>
        <w:rPr>
          <w:rFonts w:ascii="宋体" w:hAnsi="宋体" w:cs="宋体"/>
          <w:sz w:val="24"/>
          <w:szCs w:val="24"/>
        </w:rPr>
      </w:pPr>
    </w:p>
    <w:p>
      <w:pPr>
        <w:ind w:left="1358" w:leftChars="200" w:hanging="938" w:hangingChars="391"/>
        <w:jc w:val="left"/>
        <w:rPr>
          <w:rFonts w:ascii="宋体" w:hAnsi="宋体" w:cs="宋体"/>
          <w:sz w:val="24"/>
          <w:szCs w:val="24"/>
        </w:rPr>
      </w:pPr>
    </w:p>
    <w:p>
      <w:pPr>
        <w:ind w:left="1358" w:leftChars="200" w:hanging="938" w:hangingChars="391"/>
        <w:jc w:val="left"/>
        <w:rPr>
          <w:rFonts w:ascii="宋体" w:hAnsi="宋体" w:cs="宋体"/>
          <w:sz w:val="24"/>
          <w:szCs w:val="24"/>
        </w:rPr>
      </w:pPr>
    </w:p>
    <w:p>
      <w:pPr>
        <w:ind w:left="1358" w:leftChars="200" w:hanging="938" w:hangingChars="391"/>
        <w:jc w:val="left"/>
        <w:rPr>
          <w:rFonts w:ascii="宋体" w:hAnsi="宋体" w:cs="宋体"/>
          <w:sz w:val="24"/>
          <w:szCs w:val="24"/>
        </w:rPr>
      </w:pPr>
    </w:p>
    <w:p>
      <w:pPr>
        <w:ind w:left="1358" w:leftChars="200" w:hanging="938" w:hangingChars="391"/>
        <w:jc w:val="left"/>
        <w:rPr>
          <w:rFonts w:ascii="宋体" w:hAnsi="宋体" w:cs="宋体"/>
          <w:sz w:val="24"/>
          <w:szCs w:val="24"/>
        </w:rPr>
      </w:pPr>
    </w:p>
    <w:p>
      <w:pPr>
        <w:ind w:left="1358" w:leftChars="200" w:hanging="938" w:hangingChars="391"/>
        <w:jc w:val="left"/>
        <w:rPr>
          <w:rFonts w:ascii="宋体" w:hAnsi="宋体" w:cs="宋体"/>
          <w:sz w:val="24"/>
          <w:szCs w:val="24"/>
        </w:rPr>
      </w:pPr>
    </w:p>
    <w:p>
      <w:pPr>
        <w:ind w:left="1358" w:leftChars="200" w:hanging="938" w:hangingChars="391"/>
        <w:jc w:val="left"/>
        <w:rPr>
          <w:rFonts w:ascii="宋体" w:hAnsi="宋体" w:cs="宋体"/>
          <w:sz w:val="24"/>
          <w:szCs w:val="24"/>
        </w:rPr>
      </w:pPr>
    </w:p>
    <w:p>
      <w:pPr>
        <w:ind w:left="1358" w:leftChars="200" w:hanging="938" w:hangingChars="391"/>
        <w:jc w:val="left"/>
        <w:rPr>
          <w:rFonts w:ascii="宋体" w:hAnsi="宋体" w:cs="宋体"/>
          <w:sz w:val="24"/>
          <w:szCs w:val="24"/>
        </w:rPr>
      </w:pPr>
    </w:p>
    <w:p>
      <w:pPr>
        <w:ind w:left="1358" w:leftChars="200" w:hanging="938" w:hangingChars="391"/>
        <w:jc w:val="left"/>
        <w:rPr>
          <w:rFonts w:ascii="宋体" w:hAnsi="宋体" w:cs="宋体"/>
          <w:sz w:val="24"/>
          <w:szCs w:val="24"/>
        </w:rPr>
      </w:pPr>
    </w:p>
    <w:p>
      <w:pPr>
        <w:spacing w:line="300" w:lineRule="auto"/>
        <w:jc w:val="left"/>
        <w:rPr>
          <w:rFonts w:hint="eastAsia" w:ascii="宋体" w:hAnsi="宋体" w:cs="宋体"/>
          <w:sz w:val="24"/>
          <w:szCs w:val="24"/>
        </w:rPr>
      </w:pPr>
    </w:p>
    <w:p>
      <w:pPr>
        <w:spacing w:line="300" w:lineRule="auto"/>
        <w:jc w:val="left"/>
        <w:rPr>
          <w:rFonts w:hint="eastAsia" w:ascii="宋体" w:hAnsi="宋体" w:cs="宋体"/>
          <w:sz w:val="24"/>
          <w:szCs w:val="24"/>
        </w:rPr>
      </w:pPr>
    </w:p>
    <w:p>
      <w:pPr>
        <w:spacing w:line="300" w:lineRule="auto"/>
        <w:jc w:val="left"/>
        <w:rPr>
          <w:rFonts w:hint="eastAsia" w:ascii="宋体" w:hAnsi="宋体" w:cs="宋体"/>
          <w:sz w:val="24"/>
          <w:szCs w:val="24"/>
        </w:rPr>
      </w:pPr>
    </w:p>
    <w:p>
      <w:pPr>
        <w:spacing w:line="300" w:lineRule="auto"/>
        <w:jc w:val="left"/>
        <w:rPr>
          <w:rFonts w:hint="eastAsia" w:ascii="宋体" w:hAnsi="宋体" w:cs="宋体"/>
          <w:sz w:val="24"/>
          <w:szCs w:val="24"/>
        </w:rPr>
      </w:pPr>
    </w:p>
    <w:p>
      <w:pPr>
        <w:spacing w:line="300" w:lineRule="auto"/>
        <w:jc w:val="left"/>
        <w:rPr>
          <w:rFonts w:hint="eastAsia" w:ascii="宋体" w:hAnsi="宋体" w:cs="宋体"/>
          <w:sz w:val="24"/>
          <w:szCs w:val="24"/>
        </w:rPr>
      </w:pPr>
    </w:p>
    <w:p>
      <w:pPr>
        <w:spacing w:line="300" w:lineRule="auto"/>
        <w:jc w:val="left"/>
        <w:rPr>
          <w:rFonts w:hint="eastAsia" w:ascii="宋体" w:hAnsi="宋体" w:cs="宋体"/>
          <w:sz w:val="24"/>
          <w:szCs w:val="24"/>
        </w:rPr>
      </w:pPr>
    </w:p>
    <w:p>
      <w:pPr>
        <w:spacing w:line="300" w:lineRule="auto"/>
        <w:jc w:val="left"/>
        <w:rPr>
          <w:rFonts w:hint="eastAsia" w:ascii="宋体" w:hAnsi="宋体" w:cs="宋体"/>
          <w:sz w:val="24"/>
          <w:szCs w:val="24"/>
        </w:rPr>
      </w:pPr>
    </w:p>
    <w:p>
      <w:pPr>
        <w:spacing w:line="300" w:lineRule="auto"/>
        <w:jc w:val="left"/>
        <w:rPr>
          <w:rFonts w:hint="eastAsia" w:ascii="宋体" w:hAnsi="宋体" w:cs="宋体"/>
          <w:sz w:val="24"/>
          <w:szCs w:val="24"/>
        </w:rPr>
      </w:pPr>
    </w:p>
    <w:p>
      <w:pPr>
        <w:spacing w:line="300" w:lineRule="auto"/>
        <w:jc w:val="left"/>
        <w:rPr>
          <w:rFonts w:hint="eastAsia" w:ascii="宋体" w:hAnsi="宋体" w:cs="宋体"/>
          <w:sz w:val="24"/>
          <w:szCs w:val="24"/>
        </w:rPr>
      </w:pPr>
    </w:p>
    <w:p>
      <w:pPr>
        <w:spacing w:line="300" w:lineRule="auto"/>
        <w:jc w:val="lef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四、其他要求</w:t>
      </w:r>
    </w:p>
    <w:p>
      <w:pPr>
        <w:spacing w:line="300" w:lineRule="auto"/>
        <w:jc w:val="left"/>
        <w:rPr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（1）</w:t>
      </w:r>
      <w:r>
        <w:rPr>
          <w:rFonts w:hint="eastAsia"/>
          <w:sz w:val="24"/>
          <w:szCs w:val="24"/>
          <w:lang w:eastAsia="zh-CN"/>
        </w:rPr>
        <w:t>碳纤维牵引架</w:t>
      </w:r>
      <w:r>
        <w:rPr>
          <w:rFonts w:hint="eastAsia"/>
          <w:sz w:val="24"/>
          <w:szCs w:val="24"/>
        </w:rPr>
        <w:t>与医院现有手术床</w:t>
      </w:r>
      <w:r>
        <w:rPr>
          <w:rFonts w:hint="eastAsia"/>
          <w:sz w:val="24"/>
          <w:szCs w:val="24"/>
          <w:lang w:eastAsia="zh-CN"/>
        </w:rPr>
        <w:t>匹配，无需另配转接器</w:t>
      </w:r>
      <w:r>
        <w:rPr>
          <w:rFonts w:hint="eastAsia"/>
          <w:sz w:val="24"/>
          <w:szCs w:val="24"/>
        </w:rPr>
        <w:t>；</w:t>
      </w:r>
    </w:p>
    <w:p>
      <w:pPr>
        <w:spacing w:line="300" w:lineRule="auto"/>
        <w:jc w:val="left"/>
        <w:rPr>
          <w:rFonts w:hint="default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</w:rPr>
        <w:t>（2）</w:t>
      </w:r>
      <w:r>
        <w:rPr>
          <w:rFonts w:hint="eastAsia"/>
          <w:sz w:val="24"/>
          <w:szCs w:val="24"/>
        </w:rPr>
        <w:t>碳纤维单杆下肢牵引附件配备齐全，可满足下肢平卧位、侧卧位牵引手术要求，无需另购，并提供碳纤维单杆牵引架配置清单。</w:t>
      </w:r>
    </w:p>
    <w:p>
      <w:pPr>
        <w:rPr>
          <w:rFonts w:hint="eastAsia" w:ascii="宋体" w:hAnsi="宋体" w:cs="宋体"/>
          <w:b/>
          <w:sz w:val="28"/>
          <w:szCs w:val="28"/>
          <w:lang w:bidi="ar"/>
        </w:rPr>
      </w:pPr>
    </w:p>
    <w:p>
      <w:pPr>
        <w:pStyle w:val="2"/>
        <w:rPr>
          <w:rFonts w:hint="eastAsia"/>
        </w:rPr>
      </w:pPr>
    </w:p>
    <w:p>
      <w:pPr>
        <w:rPr>
          <w:rFonts w:hint="eastAsia" w:ascii="宋体" w:hAnsi="宋体" w:cs="宋体"/>
          <w:b/>
          <w:sz w:val="28"/>
          <w:szCs w:val="28"/>
          <w:lang w:bidi="ar"/>
        </w:rPr>
      </w:pPr>
      <w:r>
        <w:rPr>
          <w:rFonts w:hint="eastAsia" w:ascii="宋体" w:hAnsi="宋体" w:cs="宋体"/>
          <w:b/>
          <w:sz w:val="28"/>
          <w:szCs w:val="28"/>
          <w:lang w:bidi="ar"/>
        </w:rPr>
        <w:t>设备名称：肺功能检查仪</w:t>
      </w:r>
    </w:p>
    <w:p>
      <w:pPr>
        <w:pStyle w:val="4"/>
        <w:widowControl/>
        <w:spacing w:before="0" w:beforeAutospacing="0" w:after="0" w:afterAutospacing="0" w:line="525" w:lineRule="atLeast"/>
        <w:jc w:val="both"/>
        <w:textAlignment w:val="baseline"/>
        <w:rPr>
          <w:rFonts w:hint="default" w:ascii="宋体" w:hAnsi="宋体" w:eastAsia="宋体"/>
          <w:b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sz w:val="28"/>
          <w:szCs w:val="28"/>
          <w:lang w:bidi="ar"/>
        </w:rPr>
        <w:t>设备编号：NYZBB-SBK-20220</w:t>
      </w:r>
      <w:r>
        <w:rPr>
          <w:rFonts w:hint="eastAsia" w:cs="宋体"/>
          <w:b/>
          <w:sz w:val="28"/>
          <w:szCs w:val="28"/>
          <w:lang w:val="en-US" w:eastAsia="zh-CN" w:bidi="ar"/>
        </w:rPr>
        <w:t>61</w:t>
      </w:r>
    </w:p>
    <w:p>
      <w:pPr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  <w:lang w:bidi="ar"/>
        </w:rPr>
        <w:t>数</w:t>
      </w:r>
      <w:r>
        <w:rPr>
          <w:rFonts w:hint="eastAsia" w:ascii="宋体" w:hAnsi="宋体"/>
          <w:b/>
          <w:sz w:val="28"/>
          <w:szCs w:val="28"/>
          <w:lang w:bidi="ar"/>
        </w:rPr>
        <w:t xml:space="preserve">  </w:t>
      </w:r>
      <w:r>
        <w:rPr>
          <w:rFonts w:hint="eastAsia" w:ascii="宋体" w:hAnsi="宋体" w:cs="宋体"/>
          <w:b/>
          <w:sz w:val="28"/>
          <w:szCs w:val="28"/>
          <w:lang w:bidi="ar"/>
        </w:rPr>
        <w:t>量：1台</w:t>
      </w:r>
    </w:p>
    <w:p>
      <w:pPr>
        <w:jc w:val="center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  <w:lang w:bidi="ar"/>
        </w:rPr>
        <w:t>性能配置要求</w:t>
      </w:r>
    </w:p>
    <w:p>
      <w:pPr>
        <w:rPr>
          <w:szCs w:val="21"/>
        </w:rPr>
      </w:pPr>
      <w:r>
        <w:rPr>
          <w:rFonts w:hint="eastAsia"/>
          <w:szCs w:val="21"/>
        </w:rPr>
        <w:t>一、主要技术参数：</w:t>
      </w:r>
    </w:p>
    <w:p>
      <w:pPr>
        <w:rPr>
          <w:szCs w:val="21"/>
        </w:rPr>
      </w:pPr>
      <w:r>
        <w:rPr>
          <w:rFonts w:hint="eastAsia"/>
          <w:szCs w:val="21"/>
        </w:rPr>
        <w:t>1.传感器技术：抗菌过滤一体的铂-铑合金热丝式双向流速传感器；</w:t>
      </w:r>
    </w:p>
    <w:p>
      <w:pPr>
        <w:rPr>
          <w:szCs w:val="21"/>
        </w:rPr>
      </w:pPr>
      <w:r>
        <w:rPr>
          <w:rFonts w:hint="eastAsia"/>
          <w:szCs w:val="21"/>
        </w:rPr>
        <w:t>2.流速测量范围：0-14L/S；</w:t>
      </w:r>
    </w:p>
    <w:p>
      <w:pPr>
        <w:rPr>
          <w:szCs w:val="21"/>
        </w:rPr>
      </w:pPr>
      <w:r>
        <w:rPr>
          <w:rFonts w:hint="eastAsia"/>
          <w:szCs w:val="21"/>
        </w:rPr>
        <w:t xml:space="preserve">3.容量精确度：±3%或50毫升 </w:t>
      </w:r>
    </w:p>
    <w:p>
      <w:pPr>
        <w:rPr>
          <w:szCs w:val="21"/>
        </w:rPr>
      </w:pPr>
      <w:r>
        <w:rPr>
          <w:rFonts w:hint="eastAsia"/>
          <w:szCs w:val="21"/>
        </w:rPr>
        <w:t>4.中国人种专用预计值公式：EUROPE，BALDWIN，BEIJING，LAM-CHINA。</w:t>
      </w:r>
    </w:p>
    <w:p>
      <w:pPr>
        <w:rPr>
          <w:szCs w:val="21"/>
        </w:rPr>
      </w:pPr>
      <w:r>
        <w:rPr>
          <w:rFonts w:hint="eastAsia"/>
          <w:szCs w:val="21"/>
        </w:rPr>
        <w:t>5.直接显示慢阻肺（COPD）病期分类结果</w:t>
      </w:r>
    </w:p>
    <w:p>
      <w:pPr>
        <w:rPr>
          <w:szCs w:val="21"/>
        </w:rPr>
      </w:pPr>
      <w:r>
        <w:rPr>
          <w:rFonts w:hint="eastAsia"/>
          <w:szCs w:val="21"/>
        </w:rPr>
        <w:t>6.自带热敏打印机，四种以上图文并茂报告格式。</w:t>
      </w:r>
    </w:p>
    <w:p>
      <w:pPr>
        <w:rPr>
          <w:szCs w:val="21"/>
        </w:rPr>
      </w:pPr>
      <w:r>
        <w:rPr>
          <w:rFonts w:hint="eastAsia"/>
          <w:szCs w:val="21"/>
        </w:rPr>
        <w:t>7.液晶显示：≧5 英寸彩色液晶触摸屏,显示清晰，操作简单</w:t>
      </w:r>
    </w:p>
    <w:p>
      <w:pPr>
        <w:rPr>
          <w:szCs w:val="21"/>
        </w:rPr>
      </w:pPr>
      <w:r>
        <w:rPr>
          <w:rFonts w:hint="eastAsia"/>
          <w:szCs w:val="21"/>
        </w:rPr>
        <w:t>二、主要测定项目：</w:t>
      </w:r>
    </w:p>
    <w:p>
      <w:pPr>
        <w:rPr>
          <w:szCs w:val="21"/>
        </w:rPr>
      </w:pPr>
      <w:r>
        <w:rPr>
          <w:rFonts w:hint="eastAsia"/>
          <w:szCs w:val="21"/>
        </w:rPr>
        <w:t>1、用力肺活量(FVC)：FVC，FEV1.0，FEV1.0%，PEFR，MMF等项目</w:t>
      </w:r>
    </w:p>
    <w:p>
      <w:pPr>
        <w:rPr>
          <w:szCs w:val="21"/>
        </w:rPr>
      </w:pPr>
      <w:r>
        <w:rPr>
          <w:rFonts w:hint="eastAsia"/>
          <w:szCs w:val="21"/>
        </w:rPr>
        <w:t>2、肺器官年龄值</w:t>
      </w:r>
    </w:p>
    <w:p>
      <w:pPr>
        <w:rPr>
          <w:szCs w:val="21"/>
        </w:rPr>
      </w:pPr>
      <w:r>
        <w:rPr>
          <w:rFonts w:hint="eastAsia"/>
          <w:szCs w:val="21"/>
        </w:rPr>
        <w:t>3、肺活量(VC/SVC)：VC，TV，IRV，ERV，IC，</w:t>
      </w:r>
    </w:p>
    <w:p>
      <w:pPr>
        <w:rPr>
          <w:szCs w:val="21"/>
        </w:rPr>
      </w:pPr>
      <w:r>
        <w:rPr>
          <w:rFonts w:hint="eastAsia"/>
          <w:szCs w:val="21"/>
        </w:rPr>
        <w:t xml:space="preserve">4、输入FRC 值后，可测出RV（残气量），FRC（功能残气量），TLC（肺总量），RV/TLC </w:t>
      </w:r>
    </w:p>
    <w:p>
      <w:pPr>
        <w:rPr>
          <w:szCs w:val="21"/>
        </w:rPr>
      </w:pPr>
      <w:r>
        <w:rPr>
          <w:rFonts w:hint="eastAsia"/>
          <w:szCs w:val="21"/>
        </w:rPr>
        <w:t xml:space="preserve">5、每分钟通气量(MV)：MV，RR，TV </w:t>
      </w:r>
    </w:p>
    <w:p>
      <w:pPr>
        <w:rPr>
          <w:szCs w:val="21"/>
        </w:rPr>
      </w:pPr>
      <w:r>
        <w:rPr>
          <w:rFonts w:hint="eastAsia"/>
          <w:szCs w:val="21"/>
        </w:rPr>
        <w:t>6、每分钟最大通气量(MVV)： MVV，BSA，MVV/BSA，RR，TV</w:t>
      </w:r>
    </w:p>
    <w:p>
      <w:pPr>
        <w:rPr>
          <w:rFonts w:hint="eastAsia" w:ascii="宋体" w:hAnsi="宋体" w:cs="宋体"/>
          <w:b/>
          <w:sz w:val="28"/>
          <w:szCs w:val="28"/>
          <w:lang w:bidi="ar"/>
        </w:rPr>
      </w:pPr>
      <w:r>
        <w:rPr>
          <w:rFonts w:hint="eastAsia"/>
          <w:szCs w:val="21"/>
        </w:rPr>
        <w:t>7、支气管扩张试验（BD）： VC/SVC，FVC，MVV</w:t>
      </w:r>
    </w:p>
    <w:p>
      <w:pPr>
        <w:rPr>
          <w:rFonts w:hint="eastAsia" w:ascii="宋体" w:hAnsi="宋体" w:cs="宋体"/>
          <w:b/>
          <w:sz w:val="28"/>
          <w:szCs w:val="28"/>
          <w:lang w:bidi="ar"/>
        </w:rPr>
      </w:pPr>
    </w:p>
    <w:p>
      <w:pPr>
        <w:rPr>
          <w:rFonts w:hint="eastAsia" w:ascii="宋体" w:hAnsi="宋体" w:cs="宋体"/>
          <w:b/>
          <w:sz w:val="28"/>
          <w:szCs w:val="28"/>
          <w:lang w:bidi="ar"/>
        </w:rPr>
      </w:pPr>
      <w:r>
        <w:rPr>
          <w:rFonts w:hint="eastAsia" w:ascii="宋体" w:hAnsi="宋体" w:cs="宋体"/>
          <w:b/>
          <w:sz w:val="28"/>
          <w:szCs w:val="28"/>
          <w:lang w:bidi="ar"/>
        </w:rPr>
        <w:t>设备名称：全自动糖化血红蛋白分析仪</w:t>
      </w:r>
    </w:p>
    <w:p>
      <w:pPr>
        <w:pStyle w:val="4"/>
        <w:widowControl/>
        <w:spacing w:before="0" w:beforeAutospacing="0" w:after="0" w:afterAutospacing="0" w:line="525" w:lineRule="atLeast"/>
        <w:jc w:val="both"/>
        <w:textAlignment w:val="baseline"/>
        <w:rPr>
          <w:rFonts w:hint="default" w:ascii="宋体" w:hAnsi="宋体" w:eastAsia="宋体"/>
          <w:b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sz w:val="28"/>
          <w:szCs w:val="28"/>
          <w:lang w:bidi="ar"/>
        </w:rPr>
        <w:t>设备编号：NYZBB-SBK-20220</w:t>
      </w:r>
      <w:r>
        <w:rPr>
          <w:rFonts w:hint="eastAsia" w:cs="宋体"/>
          <w:b/>
          <w:sz w:val="28"/>
          <w:szCs w:val="28"/>
          <w:lang w:val="en-US" w:eastAsia="zh-CN" w:bidi="ar"/>
        </w:rPr>
        <w:t>68</w:t>
      </w:r>
    </w:p>
    <w:p>
      <w:pPr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  <w:lang w:bidi="ar"/>
        </w:rPr>
        <w:t>数</w:t>
      </w:r>
      <w:r>
        <w:rPr>
          <w:rFonts w:hint="eastAsia" w:ascii="宋体" w:hAnsi="宋体"/>
          <w:b/>
          <w:sz w:val="28"/>
          <w:szCs w:val="28"/>
          <w:lang w:bidi="ar"/>
        </w:rPr>
        <w:t xml:space="preserve">  </w:t>
      </w:r>
      <w:r>
        <w:rPr>
          <w:rFonts w:hint="eastAsia" w:ascii="宋体" w:hAnsi="宋体" w:cs="宋体"/>
          <w:b/>
          <w:sz w:val="28"/>
          <w:szCs w:val="28"/>
          <w:lang w:bidi="ar"/>
        </w:rPr>
        <w:t>量：</w:t>
      </w:r>
      <w:r>
        <w:rPr>
          <w:rFonts w:hint="eastAsia" w:ascii="宋体" w:hAnsi="宋体" w:cs="宋体"/>
          <w:b/>
          <w:sz w:val="28"/>
          <w:szCs w:val="28"/>
          <w:lang w:val="en-US" w:eastAsia="zh-CN" w:bidi="ar"/>
        </w:rPr>
        <w:t>1</w:t>
      </w:r>
      <w:r>
        <w:rPr>
          <w:rFonts w:hint="eastAsia" w:ascii="宋体" w:hAnsi="宋体" w:cs="宋体"/>
          <w:b/>
          <w:sz w:val="28"/>
          <w:szCs w:val="28"/>
          <w:lang w:bidi="ar"/>
        </w:rPr>
        <w:t>台</w:t>
      </w:r>
    </w:p>
    <w:p>
      <w:pPr>
        <w:jc w:val="center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  <w:lang w:bidi="ar"/>
        </w:rPr>
        <w:t>性能配置要求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0" w:hanging="420" w:firstLineChars="0"/>
        <w:textAlignment w:val="auto"/>
        <w:rPr>
          <w:rFonts w:hint="eastAsia" w:ascii="宋体" w:hAnsi="宋体" w:eastAsia="宋体" w:cs="宋体"/>
          <w:color w:val="333333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333333"/>
          <w:kern w:val="2"/>
          <w:sz w:val="24"/>
          <w:szCs w:val="24"/>
          <w:lang w:val="en-US" w:eastAsia="zh-CN" w:bidi="ar-SA"/>
        </w:rPr>
        <w:t>分析原理：离子交换高效液相色谱（HPLC）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0" w:hanging="420" w:firstLineChars="0"/>
        <w:textAlignment w:val="auto"/>
        <w:rPr>
          <w:rFonts w:hint="eastAsia" w:ascii="宋体" w:hAnsi="宋体" w:eastAsia="宋体" w:cs="宋体"/>
          <w:color w:val="333333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333333"/>
          <w:kern w:val="2"/>
          <w:sz w:val="24"/>
          <w:szCs w:val="24"/>
          <w:lang w:val="en-US" w:eastAsia="zh-CN" w:bidi="ar-SA"/>
        </w:rPr>
        <w:t>自动化：无需样本预处理，系统自动识别样本类型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0" w:hanging="420" w:firstLineChars="0"/>
        <w:textAlignment w:val="auto"/>
        <w:rPr>
          <w:rFonts w:hint="eastAsia" w:ascii="宋体" w:hAnsi="宋体" w:eastAsia="宋体" w:cs="宋体"/>
          <w:color w:val="333333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333333"/>
          <w:kern w:val="2"/>
          <w:sz w:val="24"/>
          <w:szCs w:val="24"/>
          <w:lang w:val="en-US" w:eastAsia="zh-CN" w:bidi="ar-SA"/>
        </w:rPr>
        <w:t>吸样方法：样本管帽穿刺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0" w:hanging="420" w:firstLineChars="0"/>
        <w:textAlignment w:val="auto"/>
        <w:rPr>
          <w:rFonts w:hint="eastAsia" w:ascii="宋体" w:hAnsi="宋体" w:eastAsia="宋体" w:cs="宋体"/>
          <w:color w:val="333333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333333"/>
          <w:kern w:val="2"/>
          <w:sz w:val="24"/>
          <w:szCs w:val="24"/>
          <w:lang w:val="en-US" w:eastAsia="zh-CN" w:bidi="ar-SA"/>
        </w:rPr>
        <w:t>测定项目：HbA1c,HbA1,HbF等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0" w:hanging="420" w:firstLineChars="0"/>
        <w:textAlignment w:val="auto"/>
        <w:rPr>
          <w:rFonts w:hint="eastAsia" w:ascii="宋体" w:hAnsi="宋体" w:eastAsia="宋体" w:cs="宋体"/>
          <w:color w:val="333333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333333"/>
          <w:kern w:val="2"/>
          <w:sz w:val="24"/>
          <w:szCs w:val="24"/>
          <w:lang w:val="en-US" w:eastAsia="zh-CN" w:bidi="ar-SA"/>
        </w:rPr>
        <w:t>检测速度：批量测试为≥50 测试/小时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0" w:hanging="420" w:firstLineChars="0"/>
        <w:textAlignment w:val="auto"/>
        <w:rPr>
          <w:rFonts w:hint="eastAsia" w:ascii="宋体" w:hAnsi="宋体" w:eastAsia="宋体" w:cs="宋体"/>
          <w:color w:val="333333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333333"/>
          <w:kern w:val="2"/>
          <w:sz w:val="24"/>
          <w:szCs w:val="24"/>
          <w:lang w:val="en-US" w:eastAsia="zh-CN" w:bidi="ar-SA"/>
        </w:rPr>
        <w:t>稀释能力：机内自动稀释，机外手动稀释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0" w:hanging="420" w:firstLineChars="0"/>
        <w:textAlignment w:val="auto"/>
        <w:rPr>
          <w:rFonts w:hint="eastAsia" w:ascii="宋体" w:hAnsi="宋体" w:eastAsia="宋体" w:cs="宋体"/>
          <w:color w:val="333333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333333"/>
          <w:kern w:val="2"/>
          <w:sz w:val="24"/>
          <w:szCs w:val="24"/>
          <w:lang w:val="en-US" w:eastAsia="zh-CN" w:bidi="ar-SA"/>
        </w:rPr>
        <w:t>条码扫读：自动识别样品管条码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0" w:hanging="420" w:firstLineChars="0"/>
        <w:textAlignment w:val="auto"/>
        <w:rPr>
          <w:rFonts w:hint="eastAsia" w:ascii="宋体" w:hAnsi="宋体" w:eastAsia="宋体" w:cs="宋体"/>
          <w:color w:val="333333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333333"/>
          <w:kern w:val="2"/>
          <w:sz w:val="24"/>
          <w:szCs w:val="24"/>
          <w:lang w:val="en-US" w:eastAsia="zh-CN" w:bidi="ar-SA"/>
        </w:rPr>
        <w:t>载样方式：可连续上样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0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3D560F9"/>
    <w:multiLevelType w:val="multilevel"/>
    <w:tmpl w:val="23D560F9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A30310C"/>
    <w:multiLevelType w:val="multilevel"/>
    <w:tmpl w:val="2A30310C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EzZTQ0OGNlYTYzOTlmMDA3MjZiMjIyZTZmNWEyZGIifQ=="/>
  </w:docVars>
  <w:rsids>
    <w:rsidRoot w:val="224950AE"/>
    <w:rsid w:val="00083D08"/>
    <w:rsid w:val="00AE46C1"/>
    <w:rsid w:val="17C07DBD"/>
    <w:rsid w:val="18FA6024"/>
    <w:rsid w:val="224950AE"/>
    <w:rsid w:val="2D257878"/>
    <w:rsid w:val="4BC250E2"/>
    <w:rsid w:val="51F30A22"/>
    <w:rsid w:val="5372623C"/>
    <w:rsid w:val="6B6508C9"/>
    <w:rsid w:val="74B8427F"/>
    <w:rsid w:val="7BBD6965"/>
    <w:rsid w:val="7C41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7">
    <w:name w:val="List Paragraph"/>
    <w:basedOn w:val="1"/>
    <w:qFormat/>
    <w:uiPriority w:val="34"/>
    <w:pPr>
      <w:ind w:left="400" w:hanging="281"/>
    </w:pPr>
    <w:rPr>
      <w:rFonts w:ascii="宋体" w:hAnsi="宋体" w:cs="宋体"/>
      <w:lang w:val="zh-CN" w:bidi="zh-CN"/>
    </w:rPr>
  </w:style>
  <w:style w:type="character" w:customStyle="1" w:styleId="8">
    <w:name w:val="apple-style-span"/>
    <w:basedOn w:val="6"/>
    <w:qFormat/>
    <w:uiPriority w:val="0"/>
  </w:style>
  <w:style w:type="character" w:customStyle="1" w:styleId="9">
    <w:name w:val="页脚 字符"/>
    <w:basedOn w:val="6"/>
    <w:link w:val="2"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0">
    <w:name w:val="NormalCharacter"/>
    <w:semiHidden/>
    <w:qFormat/>
    <w:uiPriority w:val="0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1">
    <w:name w:val="UserStyle_0"/>
    <w:basedOn w:val="1"/>
    <w:qFormat/>
    <w:uiPriority w:val="0"/>
    <w:pPr>
      <w:spacing w:line="300" w:lineRule="auto"/>
      <w:textAlignment w:val="baseline"/>
    </w:pPr>
    <w:rPr>
      <w:rFonts w:asciiTheme="minorHAnsi" w:hAnsiTheme="minorHAnsi" w:eastAsiaTheme="minorEastAsia" w:cstheme="minorBidi"/>
      <w:b/>
      <w:kern w:val="0"/>
      <w:sz w:val="24"/>
      <w:szCs w:val="20"/>
    </w:rPr>
  </w:style>
  <w:style w:type="paragraph" w:customStyle="1" w:styleId="12">
    <w:name w:val="NormalIndent"/>
    <w:basedOn w:val="1"/>
    <w:qFormat/>
    <w:uiPriority w:val="0"/>
    <w:pPr>
      <w:ind w:firstLine="420"/>
      <w:textAlignment w:val="baseline"/>
    </w:pPr>
    <w:rPr>
      <w:rFonts w:asciiTheme="minorHAnsi" w:hAnsiTheme="minorHAnsi" w:eastAsiaTheme="minorEastAsia" w:cstheme="minorBidi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1327</Words>
  <Characters>1673</Characters>
  <Lines>10</Lines>
  <Paragraphs>2</Paragraphs>
  <TotalTime>2</TotalTime>
  <ScaleCrop>false</ScaleCrop>
  <LinksUpToDate>false</LinksUpToDate>
  <CharactersWithSpaces>1700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2022-03-24T07:10:00Z</dcterms:created>
  <dc:creator>设备科温</dc:creator>
  <cp:lastModifiedBy>设备科温</cp:lastModifiedBy>
  <cp:lastPrinted>2022-04-15T04:24:00Z</cp:lastPrinted>
  <dcterms:modified xsi:type="dcterms:W3CDTF">2022-05-24T04:23:01Z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4AC06BCA9B924D0AA08A28B43A358F85</vt:lpwstr>
  </property>
</Properties>
</file>