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rPr>
          <w:rFonts w:hint="eastAsia" w:ascii="仿宋_GB2312" w:hAnsi="华文仿宋" w:eastAsia="仿宋_GB2312" w:cs="Arial"/>
          <w:b/>
          <w:color w:val="auto"/>
          <w:sz w:val="32"/>
          <w:szCs w:val="32"/>
          <w:lang w:val="en-US" w:eastAsia="zh-CN"/>
        </w:rPr>
      </w:pPr>
      <w:r>
        <w:rPr>
          <w:rFonts w:hint="eastAsia" w:ascii="仿宋_GB2312" w:hAnsi="华文仿宋" w:eastAsia="仿宋_GB2312" w:cs="Arial"/>
          <w:b/>
          <w:color w:val="auto"/>
          <w:sz w:val="32"/>
          <w:szCs w:val="32"/>
        </w:rPr>
        <w:t>评分办法：</w:t>
      </w:r>
      <w:r>
        <w:rPr>
          <w:rFonts w:hint="eastAsia" w:ascii="仿宋_GB2312" w:hAnsi="华文仿宋" w:eastAsia="仿宋_GB2312" w:cs="Arial"/>
          <w:bCs/>
          <w:color w:val="auto"/>
          <w:sz w:val="32"/>
          <w:szCs w:val="32"/>
        </w:rPr>
        <w:t>（总分100分）</w:t>
      </w:r>
      <w:r>
        <w:rPr>
          <w:rFonts w:hint="eastAsia" w:ascii="仿宋_GB2312" w:hAnsi="华文仿宋" w:eastAsia="仿宋_GB2312" w:cs="Arial"/>
          <w:bCs/>
          <w:color w:val="auto"/>
          <w:sz w:val="32"/>
          <w:szCs w:val="32"/>
          <w:lang w:val="en-US" w:eastAsia="zh-CN"/>
        </w:rPr>
        <w:t xml:space="preserve"> </w:t>
      </w:r>
    </w:p>
    <w:p>
      <w:pPr>
        <w:pStyle w:val="18"/>
        <w:ind w:firstLine="640" w:firstLineChars="200"/>
        <w:jc w:val="both"/>
        <w:rPr>
          <w:rFonts w:ascii="仿宋_GB2312" w:hAnsi="华文仿宋" w:eastAsia="仿宋_GB2312" w:cs="Arial"/>
          <w:bCs/>
          <w:color w:val="auto"/>
          <w:sz w:val="32"/>
          <w:szCs w:val="32"/>
        </w:rPr>
      </w:pPr>
      <w:r>
        <w:rPr>
          <w:rFonts w:hint="eastAsia" w:ascii="仿宋_GB2312" w:hAnsi="华文仿宋" w:eastAsia="仿宋_GB2312" w:cs="Arial"/>
          <w:bCs/>
          <w:color w:val="auto"/>
          <w:sz w:val="32"/>
          <w:szCs w:val="32"/>
        </w:rPr>
        <w:t>本项目采用综合评分法</w:t>
      </w:r>
      <w:r>
        <w:rPr>
          <w:rFonts w:hint="eastAsia" w:ascii="仿宋_GB2312" w:hAnsi="华文仿宋" w:eastAsia="仿宋_GB2312" w:cs="Arial"/>
          <w:bCs/>
          <w:color w:val="auto"/>
          <w:sz w:val="32"/>
          <w:szCs w:val="32"/>
          <w:lang w:eastAsia="zh-CN"/>
        </w:rPr>
        <w:t>，具体如下</w:t>
      </w:r>
      <w:r>
        <w:rPr>
          <w:rFonts w:hint="eastAsia" w:ascii="仿宋_GB2312" w:hAnsi="华文仿宋" w:eastAsia="仿宋_GB2312" w:cs="Arial"/>
          <w:bCs/>
          <w:color w:val="auto"/>
          <w:sz w:val="32"/>
          <w:szCs w:val="32"/>
        </w:rPr>
        <w:t>：</w:t>
      </w:r>
    </w:p>
    <w:p>
      <w:pPr>
        <w:pStyle w:val="18"/>
        <w:rPr>
          <w:rFonts w:ascii="仿宋_GB2312" w:hAnsi="华文仿宋" w:eastAsia="仿宋_GB2312" w:cs="Arial"/>
          <w:b/>
          <w:bCs/>
          <w:color w:val="auto"/>
          <w:sz w:val="32"/>
          <w:szCs w:val="32"/>
        </w:rPr>
      </w:pPr>
      <w:r>
        <w:rPr>
          <w:rFonts w:hint="eastAsia" w:ascii="仿宋_GB2312" w:hAnsi="华文仿宋" w:eastAsia="仿宋_GB2312" w:cs="Arial"/>
          <w:b/>
          <w:bCs/>
          <w:color w:val="auto"/>
          <w:sz w:val="32"/>
          <w:szCs w:val="32"/>
        </w:rPr>
        <w:t>综合评分</w:t>
      </w:r>
    </w:p>
    <w:p>
      <w:pPr>
        <w:pStyle w:val="18"/>
        <w:ind w:firstLine="640" w:firstLineChars="200"/>
        <w:rPr>
          <w:rFonts w:hint="default" w:ascii="仿宋_GB2312" w:hAnsi="华文仿宋" w:eastAsia="仿宋_GB2312" w:cs="Arial"/>
          <w:b/>
          <w:bCs/>
          <w:color w:val="auto"/>
          <w:sz w:val="32"/>
          <w:szCs w:val="32"/>
          <w:lang w:val="en-US" w:eastAsia="zh-CN"/>
        </w:rPr>
      </w:pPr>
      <w:r>
        <w:rPr>
          <w:rFonts w:hint="eastAsia" w:ascii="仿宋_GB2312" w:hAnsi="华文仿宋" w:eastAsia="仿宋_GB2312" w:cs="Arial"/>
          <w:bCs/>
          <w:color w:val="auto"/>
          <w:sz w:val="32"/>
          <w:szCs w:val="32"/>
        </w:rPr>
        <w:t>对初步评审合格的供应商采用百分制综合评分法进行评分，评分细则如下：</w:t>
      </w:r>
      <w:r>
        <w:rPr>
          <w:rFonts w:hint="eastAsia" w:ascii="仿宋_GB2312" w:hAnsi="华文仿宋" w:eastAsia="仿宋_GB2312" w:cs="Arial"/>
          <w:bCs/>
          <w:color w:val="auto"/>
          <w:sz w:val="32"/>
          <w:szCs w:val="32"/>
          <w:lang w:val="en-US" w:eastAsia="zh-CN"/>
        </w:rPr>
        <w:t xml:space="preserve">  </w:t>
      </w:r>
      <w:bookmarkStart w:id="0" w:name="_GoBack"/>
      <w:bookmarkEnd w:id="0"/>
    </w:p>
    <w:p>
      <w:pPr>
        <w:pStyle w:val="18"/>
        <w:rPr>
          <w:rFonts w:ascii="仿宋_GB2312" w:hAnsi="华文仿宋" w:eastAsia="仿宋_GB2312" w:cs="Arial"/>
          <w:b/>
          <w:bCs/>
          <w:color w:val="auto"/>
          <w:sz w:val="32"/>
          <w:szCs w:val="32"/>
        </w:rPr>
      </w:pPr>
      <w:r>
        <w:rPr>
          <w:rFonts w:hint="eastAsia" w:ascii="仿宋_GB2312" w:hAnsi="华文仿宋" w:eastAsia="仿宋_GB2312" w:cs="Arial"/>
          <w:b/>
          <w:bCs/>
          <w:color w:val="auto"/>
          <w:sz w:val="32"/>
          <w:szCs w:val="32"/>
        </w:rPr>
        <w:t>1.价格分 （满分30分）</w:t>
      </w:r>
    </w:p>
    <w:p>
      <w:pPr>
        <w:pStyle w:val="18"/>
        <w:ind w:firstLine="320" w:firstLineChars="100"/>
        <w:rPr>
          <w:rFonts w:ascii="仿宋_GB2312" w:hAnsi="华文仿宋" w:eastAsia="仿宋_GB2312" w:cs="Arial"/>
          <w:sz w:val="32"/>
          <w:szCs w:val="32"/>
        </w:rPr>
      </w:pPr>
      <w:r>
        <w:rPr>
          <w:rFonts w:hint="eastAsia" w:ascii="仿宋_GB2312" w:hAnsi="华文仿宋" w:eastAsia="仿宋_GB2312" w:cs="Arial"/>
          <w:sz w:val="32"/>
          <w:szCs w:val="32"/>
        </w:rPr>
        <w:t>以满足采购文件实质性条款要求且投标报价最低的价格作为评审基准价，其价格分为满分。</w:t>
      </w:r>
    </w:p>
    <w:p>
      <w:pPr>
        <w:pStyle w:val="18"/>
        <w:rPr>
          <w:rFonts w:ascii="仿宋_GB2312" w:hAnsi="华文仿宋" w:eastAsia="仿宋_GB2312" w:cs="Arial"/>
          <w:bCs/>
          <w:color w:val="auto"/>
          <w:sz w:val="32"/>
          <w:szCs w:val="32"/>
        </w:rPr>
      </w:pPr>
      <w:r>
        <w:rPr>
          <w:rFonts w:hint="eastAsia" w:ascii="仿宋_GB2312" w:hAnsi="华文仿宋" w:eastAsia="仿宋_GB2312" w:cs="Arial"/>
          <w:bCs/>
          <w:color w:val="auto"/>
          <w:sz w:val="32"/>
          <w:szCs w:val="32"/>
        </w:rPr>
        <w:t>价格分计算公式：</w:t>
      </w:r>
    </w:p>
    <w:p>
      <w:pPr>
        <w:pStyle w:val="9"/>
        <w:spacing w:line="400" w:lineRule="exact"/>
        <w:rPr>
          <w:rFonts w:ascii="仿宋_GB2312" w:hAnsi="华文仿宋" w:eastAsia="仿宋_GB2312"/>
          <w:b/>
          <w:spacing w:val="-6"/>
          <w:sz w:val="24"/>
          <w:szCs w:val="24"/>
        </w:rPr>
      </w:pPr>
      <w:r>
        <w:rPr>
          <w:rFonts w:hint="eastAsia" w:ascii="仿宋_GB2312" w:hAnsi="华文仿宋" w:eastAsia="仿宋_GB2312"/>
          <w:b/>
          <w:sz w:val="22"/>
        </w:rPr>
        <w:t xml:space="preserve">                             </w:t>
      </w:r>
      <w:r>
        <w:rPr>
          <w:rFonts w:hint="eastAsia" w:ascii="仿宋_GB2312" w:hAnsi="华文仿宋" w:eastAsia="仿宋_GB2312"/>
          <w:b/>
          <w:spacing w:val="-6"/>
          <w:sz w:val="24"/>
          <w:szCs w:val="24"/>
        </w:rPr>
        <w:t>评审基准价（</w:t>
      </w:r>
      <w:r>
        <w:rPr>
          <w:rFonts w:hint="eastAsia" w:hAnsi="宋体"/>
          <w:b/>
        </w:rPr>
        <w:t>最低供应商投标报价金额</w:t>
      </w:r>
      <w:r>
        <w:rPr>
          <w:rFonts w:hint="eastAsia" w:ascii="仿宋_GB2312" w:hAnsi="华文仿宋" w:eastAsia="仿宋_GB2312"/>
          <w:b/>
          <w:spacing w:val="-6"/>
          <w:sz w:val="24"/>
          <w:szCs w:val="24"/>
        </w:rPr>
        <w:t>）</w:t>
      </w:r>
    </w:p>
    <w:p>
      <w:pPr>
        <w:pStyle w:val="9"/>
        <w:spacing w:line="400" w:lineRule="exact"/>
        <w:ind w:right="386" w:rightChars="184" w:firstLine="229" w:firstLineChars="100"/>
        <w:rPr>
          <w:rFonts w:ascii="仿宋_GB2312" w:hAnsi="华文仿宋" w:eastAsia="仿宋_GB2312"/>
          <w:b/>
          <w:spacing w:val="-6"/>
          <w:sz w:val="24"/>
          <w:szCs w:val="24"/>
        </w:rPr>
      </w:pPr>
      <w:r>
        <w:rPr>
          <w:rFonts w:hint="eastAsia" w:ascii="仿宋_GB2312" w:hAnsi="华文仿宋" w:eastAsia="仿宋_GB2312"/>
          <w:b/>
          <w:spacing w:val="-6"/>
          <w:sz w:val="24"/>
          <w:szCs w:val="24"/>
        </w:rPr>
        <w:t xml:space="preserve">某有效供应商价格分=   </w:t>
      </w:r>
      <w:r>
        <w:rPr>
          <w:rFonts w:hint="eastAsia" w:ascii="仿宋_GB2312" w:hAnsi="华文仿宋" w:eastAsia="仿宋_GB2312"/>
          <w:b/>
          <w:bCs/>
          <w:spacing w:val="-6"/>
          <w:sz w:val="24"/>
          <w:szCs w:val="24"/>
        </w:rPr>
        <w:t xml:space="preserve">--------------------------------------  </w:t>
      </w:r>
      <w:r>
        <w:rPr>
          <w:rFonts w:hint="eastAsia" w:ascii="仿宋_GB2312" w:hAnsi="华文仿宋" w:eastAsia="仿宋_GB2312"/>
          <w:b/>
          <w:spacing w:val="-6"/>
          <w:sz w:val="24"/>
          <w:szCs w:val="24"/>
        </w:rPr>
        <w:t>×30分</w:t>
      </w:r>
    </w:p>
    <w:p>
      <w:pPr>
        <w:pStyle w:val="9"/>
        <w:spacing w:line="400" w:lineRule="exact"/>
        <w:ind w:right="386" w:rightChars="184"/>
        <w:rPr>
          <w:rFonts w:ascii="仿宋_GB2312" w:hAnsi="华文仿宋" w:eastAsia="仿宋_GB2312"/>
          <w:b/>
          <w:spacing w:val="-6"/>
          <w:sz w:val="24"/>
          <w:szCs w:val="24"/>
        </w:rPr>
      </w:pPr>
      <w:r>
        <w:rPr>
          <w:rFonts w:hint="eastAsia" w:ascii="仿宋_GB2312" w:hAnsi="华文仿宋" w:eastAsia="仿宋_GB2312"/>
          <w:b/>
          <w:spacing w:val="-6"/>
          <w:sz w:val="24"/>
          <w:szCs w:val="24"/>
        </w:rPr>
        <w:t xml:space="preserve">                              供应商的投标报价</w:t>
      </w:r>
      <w:r>
        <w:rPr>
          <w:rFonts w:hint="eastAsia" w:hAnsi="宋体"/>
          <w:b/>
        </w:rPr>
        <w:t>金额</w:t>
      </w:r>
    </w:p>
    <w:p>
      <w:pPr>
        <w:pStyle w:val="18"/>
        <w:rPr>
          <w:rFonts w:ascii="仿宋_GB2312" w:hAnsi="华文仿宋" w:eastAsia="仿宋_GB2312" w:cs="Arial"/>
          <w:b/>
          <w:bCs/>
          <w:color w:val="auto"/>
          <w:sz w:val="32"/>
          <w:szCs w:val="32"/>
        </w:rPr>
      </w:pPr>
    </w:p>
    <w:p>
      <w:pPr>
        <w:pStyle w:val="18"/>
        <w:rPr>
          <w:rFonts w:ascii="仿宋_GB2312" w:hAnsi="华文仿宋" w:eastAsia="仿宋_GB2312" w:cs="Arial"/>
          <w:b/>
          <w:bCs/>
          <w:color w:val="auto"/>
          <w:sz w:val="32"/>
          <w:szCs w:val="32"/>
        </w:rPr>
      </w:pPr>
      <w:r>
        <w:rPr>
          <w:rFonts w:hint="eastAsia" w:ascii="仿宋_GB2312" w:hAnsi="华文仿宋" w:eastAsia="仿宋_GB2312" w:cs="Arial"/>
          <w:b/>
          <w:bCs/>
          <w:color w:val="auto"/>
          <w:sz w:val="32"/>
          <w:szCs w:val="32"/>
        </w:rPr>
        <w:t>2.技术分（满分</w:t>
      </w:r>
      <w:r>
        <w:rPr>
          <w:rFonts w:hint="eastAsia" w:ascii="仿宋_GB2312" w:hAnsi="华文仿宋" w:eastAsia="仿宋_GB2312" w:cs="Arial"/>
          <w:b/>
          <w:bCs/>
          <w:color w:val="auto"/>
          <w:sz w:val="32"/>
          <w:szCs w:val="32"/>
          <w:lang w:val="en-US" w:eastAsia="zh-CN"/>
        </w:rPr>
        <w:t>43</w:t>
      </w:r>
      <w:r>
        <w:rPr>
          <w:rFonts w:hint="eastAsia" w:ascii="仿宋_GB2312" w:hAnsi="华文仿宋" w:eastAsia="仿宋_GB2312" w:cs="Arial"/>
          <w:b/>
          <w:bCs/>
          <w:color w:val="auto"/>
          <w:sz w:val="32"/>
          <w:szCs w:val="32"/>
        </w:rPr>
        <w:t>分）</w:t>
      </w:r>
    </w:p>
    <w:p>
      <w:pPr>
        <w:pStyle w:val="18"/>
        <w:ind w:firstLine="640" w:firstLineChars="200"/>
        <w:rPr>
          <w:rFonts w:ascii="仿宋_GB2312" w:hAnsi="华文仿宋" w:eastAsia="仿宋_GB2312" w:cs="Arial"/>
          <w:bCs/>
          <w:color w:val="auto"/>
          <w:sz w:val="32"/>
          <w:szCs w:val="32"/>
        </w:rPr>
      </w:pPr>
      <w:r>
        <w:rPr>
          <w:rFonts w:hint="eastAsia" w:ascii="仿宋_GB2312" w:hAnsi="华文仿宋" w:eastAsia="仿宋_GB2312" w:cs="Arial"/>
          <w:bCs/>
          <w:color w:val="auto"/>
          <w:sz w:val="32"/>
          <w:szCs w:val="32"/>
        </w:rPr>
        <w:t xml:space="preserve">（1）技术参数表响应分（16分）                                                                                 </w:t>
      </w:r>
    </w:p>
    <w:p>
      <w:pPr>
        <w:pStyle w:val="18"/>
        <w:ind w:firstLine="640" w:firstLineChars="200"/>
        <w:rPr>
          <w:rFonts w:ascii="仿宋_GB2312" w:hAnsi="华文仿宋" w:eastAsia="仿宋_GB2312" w:cs="Arial"/>
          <w:bCs/>
          <w:color w:val="auto"/>
          <w:sz w:val="32"/>
          <w:szCs w:val="32"/>
        </w:rPr>
      </w:pPr>
      <w:r>
        <w:rPr>
          <w:rFonts w:hint="eastAsia" w:ascii="仿宋_GB2312" w:hAnsi="华文仿宋" w:eastAsia="仿宋_GB2312" w:cs="Arial"/>
          <w:bCs/>
          <w:color w:val="auto"/>
          <w:sz w:val="32"/>
          <w:szCs w:val="32"/>
        </w:rPr>
        <w:t>评委根据采购文件要求，对进入详细评审的各供应商对采购文件“技术参数表”的响应情况进行评审，并按如下计分方式确定得分：</w:t>
      </w:r>
    </w:p>
    <w:p>
      <w:pPr>
        <w:pStyle w:val="18"/>
        <w:ind w:firstLine="616" w:firstLineChars="200"/>
        <w:rPr>
          <w:rFonts w:ascii="仿宋_GB2312" w:hAnsi="宋体" w:eastAsia="仿宋_GB2312"/>
          <w:spacing w:val="-6"/>
          <w:sz w:val="32"/>
          <w:szCs w:val="32"/>
        </w:rPr>
      </w:pPr>
      <w:r>
        <w:rPr>
          <w:rFonts w:hint="eastAsia" w:ascii="仿宋_GB2312" w:hAnsi="华文仿宋" w:eastAsia="仿宋_GB2312" w:cs="Arial"/>
          <w:bCs/>
          <w:color w:val="auto"/>
          <w:spacing w:val="-6"/>
          <w:sz w:val="32"/>
          <w:szCs w:val="32"/>
        </w:rPr>
        <w:t>①基本分：满足采购文件全部</w:t>
      </w:r>
      <w:r>
        <w:rPr>
          <w:rFonts w:hint="eastAsia" w:ascii="仿宋_GB2312" w:hAnsi="宋体" w:eastAsia="仿宋_GB2312"/>
          <w:spacing w:val="-6"/>
          <w:sz w:val="32"/>
          <w:szCs w:val="32"/>
        </w:rPr>
        <w:t>条款要求的，即得16分；</w:t>
      </w:r>
    </w:p>
    <w:p>
      <w:pPr>
        <w:pStyle w:val="18"/>
        <w:ind w:firstLine="592" w:firstLineChars="200"/>
        <w:rPr>
          <w:rFonts w:ascii="仿宋_GB2312" w:hAnsi="华文仿宋" w:eastAsia="仿宋_GB2312" w:cs="Arial"/>
          <w:bCs/>
          <w:color w:val="auto"/>
          <w:spacing w:val="-12"/>
          <w:sz w:val="32"/>
          <w:szCs w:val="32"/>
        </w:rPr>
      </w:pPr>
      <w:r>
        <w:rPr>
          <w:rFonts w:hint="eastAsia" w:ascii="仿宋_GB2312" w:hAnsi="宋体" w:eastAsia="仿宋_GB2312"/>
          <w:spacing w:val="-12"/>
          <w:sz w:val="32"/>
          <w:szCs w:val="32"/>
        </w:rPr>
        <w:t>②</w:t>
      </w:r>
      <w:r>
        <w:rPr>
          <w:rFonts w:hint="eastAsia" w:ascii="仿宋_GB2312" w:hAnsi="华文仿宋" w:eastAsia="仿宋_GB2312" w:cs="Arial"/>
          <w:bCs/>
          <w:color w:val="auto"/>
          <w:spacing w:val="-12"/>
          <w:sz w:val="32"/>
          <w:szCs w:val="32"/>
        </w:rPr>
        <w:t>发生负偏离的，每有1项扣</w:t>
      </w:r>
      <w:r>
        <w:rPr>
          <w:rFonts w:hint="eastAsia" w:ascii="仿宋_GB2312" w:hAnsi="华文仿宋" w:eastAsia="仿宋_GB2312" w:cs="Arial"/>
          <w:bCs/>
          <w:color w:val="auto"/>
          <w:spacing w:val="-12"/>
          <w:sz w:val="32"/>
          <w:szCs w:val="32"/>
          <w:lang w:val="en-US" w:eastAsia="zh-CN"/>
        </w:rPr>
        <w:t>2</w:t>
      </w:r>
      <w:r>
        <w:rPr>
          <w:rFonts w:hint="eastAsia" w:ascii="仿宋_GB2312" w:hAnsi="华文仿宋" w:eastAsia="仿宋_GB2312" w:cs="Arial"/>
          <w:bCs/>
          <w:color w:val="auto"/>
          <w:spacing w:val="-12"/>
          <w:sz w:val="32"/>
          <w:szCs w:val="32"/>
        </w:rPr>
        <w:t>分，最多扣16分。</w:t>
      </w:r>
    </w:p>
    <w:p>
      <w:pPr>
        <w:pStyle w:val="18"/>
        <w:ind w:firstLine="640" w:firstLineChars="200"/>
        <w:rPr>
          <w:rFonts w:ascii="仿宋_GB2312" w:hAnsi="华文仿宋" w:eastAsia="仿宋_GB2312" w:cs="Arial"/>
          <w:bCs/>
          <w:color w:val="auto"/>
          <w:sz w:val="32"/>
          <w:szCs w:val="32"/>
        </w:rPr>
      </w:pPr>
      <w:r>
        <w:rPr>
          <w:rFonts w:hint="eastAsia" w:ascii="仿宋_GB2312" w:hAnsi="华文仿宋" w:eastAsia="仿宋_GB2312" w:cs="Arial"/>
          <w:bCs/>
          <w:color w:val="auto"/>
          <w:sz w:val="32"/>
          <w:szCs w:val="32"/>
        </w:rPr>
        <w:t>（2）系统整体技术实施方案分（9分）</w:t>
      </w:r>
    </w:p>
    <w:p>
      <w:pPr>
        <w:pStyle w:val="18"/>
        <w:ind w:firstLine="640" w:firstLineChars="200"/>
        <w:rPr>
          <w:rFonts w:ascii="仿宋_GB2312" w:hAnsi="华文仿宋" w:eastAsia="仿宋_GB2312" w:cs="Arial"/>
          <w:bCs/>
          <w:color w:val="auto"/>
          <w:sz w:val="32"/>
          <w:szCs w:val="32"/>
        </w:rPr>
      </w:pPr>
      <w:r>
        <w:rPr>
          <w:rFonts w:hint="eastAsia" w:ascii="仿宋_GB2312" w:hAnsi="华文仿宋" w:eastAsia="仿宋_GB2312" w:cs="Arial"/>
          <w:bCs/>
          <w:color w:val="auto"/>
          <w:sz w:val="32"/>
          <w:szCs w:val="32"/>
        </w:rPr>
        <w:t>一档（3分）：技术实施方案内容整体简单，可行性及针对性差；</w:t>
      </w:r>
    </w:p>
    <w:p>
      <w:pPr>
        <w:pStyle w:val="18"/>
        <w:ind w:firstLine="640" w:firstLineChars="200"/>
        <w:rPr>
          <w:rFonts w:ascii="仿宋_GB2312" w:hAnsi="华文仿宋" w:eastAsia="仿宋_GB2312" w:cs="Arial"/>
          <w:bCs/>
          <w:color w:val="auto"/>
          <w:sz w:val="32"/>
          <w:szCs w:val="32"/>
        </w:rPr>
      </w:pPr>
      <w:r>
        <w:rPr>
          <w:rFonts w:hint="eastAsia" w:ascii="仿宋_GB2312" w:hAnsi="华文仿宋" w:eastAsia="仿宋_GB2312" w:cs="Arial"/>
          <w:bCs/>
          <w:color w:val="auto"/>
          <w:sz w:val="32"/>
          <w:szCs w:val="32"/>
        </w:rPr>
        <w:t>二档（6分）：技术实施方案中的系统软件整体架构设计较合理；各系统功能实现的技术方案具有一定的针对性；拟投入本项目实施的人员架构较合理；实施工作日程及时间进度安排符合本项目进度要求，方案整体具有一定的可行性。</w:t>
      </w:r>
    </w:p>
    <w:p>
      <w:pPr>
        <w:pStyle w:val="18"/>
        <w:ind w:firstLine="640" w:firstLineChars="200"/>
        <w:rPr>
          <w:rFonts w:ascii="仿宋_GB2312" w:hAnsi="华文仿宋" w:eastAsia="仿宋_GB2312" w:cs="Arial"/>
          <w:bCs/>
          <w:color w:val="auto"/>
          <w:sz w:val="32"/>
          <w:szCs w:val="32"/>
        </w:rPr>
      </w:pPr>
      <w:r>
        <w:rPr>
          <w:rFonts w:hint="eastAsia" w:ascii="仿宋_GB2312" w:hAnsi="华文仿宋" w:eastAsia="仿宋_GB2312" w:cs="Arial"/>
          <w:bCs/>
          <w:color w:val="auto"/>
          <w:sz w:val="32"/>
          <w:szCs w:val="32"/>
        </w:rPr>
        <w:t>二档（9分）：技术实施方案中的系统软件整体架构设计科学可行；各系统功能实现的技术方案科学合理、针对性强；拟投入本项目实施的人员架构合理，专业技术能力强；实施工作日程及时间进度安排合理可行，能有效保证项目进度和质量要求；方案整体可行性、针对性强，对项目实施能起到有利的保障作用。</w:t>
      </w:r>
    </w:p>
    <w:p>
      <w:pPr>
        <w:pStyle w:val="18"/>
        <w:ind w:firstLine="640" w:firstLineChars="200"/>
        <w:rPr>
          <w:rFonts w:ascii="仿宋_GB2312" w:hAnsi="华文仿宋" w:eastAsia="仿宋_GB2312" w:cs="Arial"/>
          <w:bCs/>
          <w:color w:val="auto"/>
          <w:sz w:val="32"/>
          <w:szCs w:val="32"/>
        </w:rPr>
      </w:pPr>
      <w:r>
        <w:rPr>
          <w:rFonts w:hint="eastAsia" w:ascii="仿宋_GB2312" w:hAnsi="华文仿宋" w:eastAsia="仿宋_GB2312" w:cs="Arial"/>
          <w:bCs/>
          <w:color w:val="auto"/>
          <w:sz w:val="32"/>
          <w:szCs w:val="32"/>
        </w:rPr>
        <w:t>（3）系统功能演示分（</w:t>
      </w:r>
      <w:r>
        <w:rPr>
          <w:rFonts w:hint="eastAsia" w:ascii="仿宋_GB2312" w:hAnsi="华文仿宋" w:eastAsia="仿宋_GB2312" w:cs="Arial"/>
          <w:bCs/>
          <w:color w:val="auto"/>
          <w:sz w:val="32"/>
          <w:szCs w:val="32"/>
          <w:lang w:val="en-US" w:eastAsia="zh-CN"/>
        </w:rPr>
        <w:t>18</w:t>
      </w:r>
      <w:r>
        <w:rPr>
          <w:rFonts w:hint="eastAsia" w:ascii="仿宋_GB2312" w:hAnsi="华文仿宋" w:eastAsia="仿宋_GB2312" w:cs="Arial"/>
          <w:bCs/>
          <w:color w:val="auto"/>
          <w:sz w:val="32"/>
          <w:szCs w:val="32"/>
        </w:rPr>
        <w:t xml:space="preserve">分）  </w:t>
      </w:r>
    </w:p>
    <w:p>
      <w:pPr>
        <w:pStyle w:val="18"/>
        <w:ind w:firstLine="640" w:firstLineChars="200"/>
        <w:rPr>
          <w:rFonts w:ascii="仿宋_GB2312" w:hAnsi="华文仿宋" w:eastAsia="仿宋_GB2312" w:cs="Arial"/>
          <w:bCs/>
          <w:color w:val="auto"/>
          <w:sz w:val="32"/>
          <w:szCs w:val="32"/>
        </w:rPr>
      </w:pPr>
      <w:r>
        <w:rPr>
          <w:rFonts w:hint="eastAsia" w:ascii="仿宋_GB2312" w:hAnsi="华文仿宋" w:eastAsia="仿宋_GB2312" w:cs="Arial"/>
          <w:bCs/>
          <w:color w:val="auto"/>
          <w:sz w:val="32"/>
          <w:szCs w:val="32"/>
        </w:rPr>
        <w:t>①供应商依据本项目</w:t>
      </w:r>
      <w:r>
        <w:rPr>
          <w:rFonts w:hint="eastAsia" w:ascii="仿宋_GB2312" w:hAnsi="华文仿宋" w:eastAsia="仿宋_GB2312" w:cs="Arial"/>
          <w:bCs/>
          <w:color w:val="auto"/>
          <w:sz w:val="32"/>
          <w:szCs w:val="32"/>
          <w:lang w:eastAsia="zh-CN"/>
        </w:rPr>
        <w:t>中</w:t>
      </w:r>
      <w:r>
        <w:rPr>
          <w:rFonts w:hint="eastAsia" w:ascii="仿宋_GB2312" w:hAnsi="华文仿宋" w:eastAsia="仿宋_GB2312" w:cs="Arial"/>
          <w:bCs/>
          <w:color w:val="auto"/>
          <w:sz w:val="32"/>
          <w:szCs w:val="32"/>
          <w:lang w:val="en-US" w:eastAsia="zh-CN"/>
        </w:rPr>
        <w:t>6</w:t>
      </w:r>
      <w:r>
        <w:rPr>
          <w:rFonts w:hint="eastAsia" w:ascii="仿宋_GB2312" w:hAnsi="华文仿宋" w:eastAsia="仿宋_GB2312" w:cs="Arial"/>
          <w:bCs/>
          <w:color w:val="auto"/>
          <w:sz w:val="32"/>
          <w:szCs w:val="32"/>
          <w:lang w:eastAsia="zh-CN"/>
        </w:rPr>
        <w:t>个子系统</w:t>
      </w:r>
      <w:r>
        <w:rPr>
          <w:rFonts w:hint="eastAsia" w:ascii="仿宋_GB2312" w:hAnsi="华文仿宋" w:eastAsia="仿宋_GB2312" w:cs="Arial"/>
          <w:bCs/>
          <w:color w:val="auto"/>
          <w:sz w:val="32"/>
          <w:szCs w:val="32"/>
        </w:rPr>
        <w:t>进行现场功能演示，每成功完成1项产品的功能演示的，得</w:t>
      </w:r>
      <w:r>
        <w:rPr>
          <w:rFonts w:hint="eastAsia" w:ascii="仿宋_GB2312" w:hAnsi="华文仿宋" w:eastAsia="仿宋_GB2312" w:cs="Arial"/>
          <w:bCs/>
          <w:color w:val="auto"/>
          <w:sz w:val="32"/>
          <w:szCs w:val="32"/>
          <w:lang w:val="en-US" w:eastAsia="zh-CN"/>
        </w:rPr>
        <w:t>1</w:t>
      </w:r>
      <w:r>
        <w:rPr>
          <w:rFonts w:hint="eastAsia" w:ascii="仿宋_GB2312" w:hAnsi="华文仿宋" w:eastAsia="仿宋_GB2312" w:cs="Arial"/>
          <w:bCs/>
          <w:color w:val="auto"/>
          <w:sz w:val="32"/>
          <w:szCs w:val="32"/>
        </w:rPr>
        <w:t>分，最多得</w:t>
      </w:r>
      <w:r>
        <w:rPr>
          <w:rFonts w:hint="eastAsia" w:ascii="仿宋_GB2312" w:hAnsi="华文仿宋" w:eastAsia="仿宋_GB2312" w:cs="Arial"/>
          <w:bCs/>
          <w:color w:val="auto"/>
          <w:sz w:val="32"/>
          <w:szCs w:val="32"/>
          <w:lang w:val="en-US" w:eastAsia="zh-CN"/>
        </w:rPr>
        <w:t>6</w:t>
      </w:r>
      <w:r>
        <w:rPr>
          <w:rFonts w:hint="eastAsia" w:ascii="仿宋_GB2312" w:hAnsi="华文仿宋" w:eastAsia="仿宋_GB2312" w:cs="Arial"/>
          <w:bCs/>
          <w:color w:val="auto"/>
          <w:sz w:val="32"/>
          <w:szCs w:val="32"/>
        </w:rPr>
        <w:t>分。</w:t>
      </w:r>
    </w:p>
    <w:p>
      <w:pPr>
        <w:pStyle w:val="18"/>
        <w:ind w:firstLine="640" w:firstLineChars="200"/>
        <w:rPr>
          <w:rFonts w:ascii="仿宋_GB2312" w:hAnsi="华文仿宋" w:eastAsia="仿宋_GB2312" w:cs="Arial"/>
          <w:bCs/>
          <w:color w:val="auto"/>
          <w:sz w:val="32"/>
          <w:szCs w:val="32"/>
        </w:rPr>
      </w:pPr>
      <w:r>
        <w:rPr>
          <w:rFonts w:hint="eastAsia" w:ascii="仿宋_GB2312" w:hAnsi="华文仿宋" w:eastAsia="仿宋_GB2312" w:cs="Arial"/>
          <w:bCs/>
          <w:color w:val="auto"/>
          <w:sz w:val="32"/>
          <w:szCs w:val="32"/>
        </w:rPr>
        <w:t>②系统功能演示效果分（</w:t>
      </w:r>
      <w:r>
        <w:rPr>
          <w:rFonts w:hint="eastAsia" w:ascii="仿宋_GB2312" w:hAnsi="华文仿宋" w:eastAsia="仿宋_GB2312" w:cs="Arial"/>
          <w:bCs/>
          <w:color w:val="auto"/>
          <w:sz w:val="32"/>
          <w:szCs w:val="32"/>
          <w:lang w:val="en-US" w:eastAsia="zh-CN"/>
        </w:rPr>
        <w:t>12</w:t>
      </w:r>
      <w:r>
        <w:rPr>
          <w:rFonts w:hint="eastAsia" w:ascii="仿宋_GB2312" w:hAnsi="华文仿宋" w:eastAsia="仿宋_GB2312" w:cs="Arial"/>
          <w:bCs/>
          <w:color w:val="auto"/>
          <w:sz w:val="32"/>
          <w:szCs w:val="32"/>
        </w:rPr>
        <w:t>分）</w:t>
      </w:r>
    </w:p>
    <w:p>
      <w:pPr>
        <w:pStyle w:val="18"/>
        <w:ind w:firstLine="640" w:firstLineChars="200"/>
        <w:rPr>
          <w:rFonts w:ascii="仿宋_GB2312" w:hAnsi="华文仿宋" w:eastAsia="仿宋_GB2312" w:cs="Arial"/>
          <w:bCs/>
          <w:color w:val="auto"/>
          <w:sz w:val="32"/>
          <w:szCs w:val="32"/>
        </w:rPr>
      </w:pPr>
      <w:r>
        <w:rPr>
          <w:rFonts w:hint="eastAsia" w:ascii="仿宋_GB2312" w:hAnsi="华文仿宋" w:eastAsia="仿宋_GB2312" w:cs="Arial"/>
          <w:bCs/>
          <w:color w:val="auto"/>
          <w:sz w:val="32"/>
          <w:szCs w:val="32"/>
        </w:rPr>
        <w:t>评委对各供应商就所竞“</w:t>
      </w:r>
      <w:r>
        <w:rPr>
          <w:rFonts w:hint="eastAsia" w:ascii="仿宋_GB2312" w:hAnsi="华文仿宋" w:eastAsia="仿宋_GB2312" w:cs="Arial"/>
          <w:bCs/>
          <w:color w:val="auto"/>
          <w:sz w:val="32"/>
          <w:szCs w:val="32"/>
          <w:lang w:val="en-US" w:eastAsia="zh-CN"/>
        </w:rPr>
        <w:t>HRP</w:t>
      </w:r>
      <w:r>
        <w:rPr>
          <w:rFonts w:hint="eastAsia" w:ascii="仿宋_GB2312" w:hAnsi="华文仿宋" w:eastAsia="仿宋_GB2312" w:cs="Arial"/>
          <w:bCs/>
          <w:color w:val="auto"/>
          <w:sz w:val="32"/>
          <w:szCs w:val="32"/>
        </w:rPr>
        <w:t>系统软件”</w:t>
      </w:r>
      <w:r>
        <w:rPr>
          <w:rFonts w:hint="eastAsia" w:ascii="仿宋_GB2312" w:hAnsi="华文仿宋" w:eastAsia="仿宋_GB2312" w:cs="Arial"/>
          <w:bCs/>
          <w:color w:val="auto"/>
          <w:sz w:val="32"/>
          <w:szCs w:val="32"/>
          <w:lang w:val="en-US" w:eastAsia="zh-CN"/>
        </w:rPr>
        <w:t>6个子系统</w:t>
      </w:r>
      <w:r>
        <w:rPr>
          <w:rFonts w:hint="eastAsia" w:ascii="仿宋_GB2312" w:hAnsi="华文仿宋" w:eastAsia="仿宋_GB2312" w:cs="Arial"/>
          <w:bCs/>
          <w:color w:val="auto"/>
          <w:sz w:val="32"/>
          <w:szCs w:val="32"/>
        </w:rPr>
        <w:t>的相关功能现场演示的可视化设计及效果、各系统功能应用与对接程度、功能设计科学性等方面进行评审：</w:t>
      </w:r>
    </w:p>
    <w:p>
      <w:pPr>
        <w:pStyle w:val="18"/>
        <w:ind w:firstLine="640" w:firstLineChars="200"/>
        <w:rPr>
          <w:rFonts w:ascii="仿宋_GB2312" w:hAnsi="华文仿宋" w:eastAsia="仿宋_GB2312" w:cs="Arial"/>
          <w:bCs/>
          <w:color w:val="auto"/>
          <w:sz w:val="32"/>
          <w:szCs w:val="32"/>
        </w:rPr>
      </w:pPr>
      <w:r>
        <w:rPr>
          <w:rFonts w:hint="eastAsia" w:ascii="仿宋_GB2312" w:hAnsi="华文仿宋" w:eastAsia="仿宋_GB2312" w:cs="Arial"/>
          <w:bCs/>
          <w:color w:val="auto"/>
          <w:sz w:val="32"/>
          <w:szCs w:val="32"/>
        </w:rPr>
        <w:t>一档（</w:t>
      </w:r>
      <w:r>
        <w:rPr>
          <w:rFonts w:hint="eastAsia" w:ascii="仿宋_GB2312" w:hAnsi="华文仿宋" w:eastAsia="仿宋_GB2312" w:cs="Arial"/>
          <w:bCs/>
          <w:color w:val="auto"/>
          <w:sz w:val="32"/>
          <w:szCs w:val="32"/>
          <w:lang w:val="en-US" w:eastAsia="zh-CN"/>
        </w:rPr>
        <w:t>6</w:t>
      </w:r>
      <w:r>
        <w:rPr>
          <w:rFonts w:hint="eastAsia" w:ascii="仿宋_GB2312" w:hAnsi="华文仿宋" w:eastAsia="仿宋_GB2312" w:cs="Arial"/>
          <w:bCs/>
          <w:color w:val="auto"/>
          <w:sz w:val="32"/>
          <w:szCs w:val="32"/>
        </w:rPr>
        <w:t>分）：系统功能可视化设计及效果、各系统功能应用与对接程度、功能设计科学性等方面综合评定一般的；</w:t>
      </w:r>
    </w:p>
    <w:p>
      <w:pPr>
        <w:pStyle w:val="18"/>
        <w:ind w:firstLine="640" w:firstLineChars="200"/>
        <w:rPr>
          <w:rFonts w:ascii="仿宋_GB2312" w:hAnsi="华文仿宋" w:eastAsia="仿宋_GB2312" w:cs="Arial"/>
          <w:bCs/>
          <w:color w:val="auto"/>
          <w:sz w:val="32"/>
          <w:szCs w:val="32"/>
        </w:rPr>
      </w:pPr>
      <w:r>
        <w:rPr>
          <w:rFonts w:hint="eastAsia" w:ascii="仿宋_GB2312" w:hAnsi="华文仿宋" w:eastAsia="仿宋_GB2312" w:cs="Arial"/>
          <w:bCs/>
          <w:color w:val="auto"/>
          <w:sz w:val="32"/>
          <w:szCs w:val="32"/>
        </w:rPr>
        <w:t>二档（</w:t>
      </w:r>
      <w:r>
        <w:rPr>
          <w:rFonts w:hint="eastAsia" w:ascii="仿宋_GB2312" w:hAnsi="华文仿宋" w:eastAsia="仿宋_GB2312" w:cs="Arial"/>
          <w:bCs/>
          <w:color w:val="auto"/>
          <w:sz w:val="32"/>
          <w:szCs w:val="32"/>
          <w:lang w:val="en-US" w:eastAsia="zh-CN"/>
        </w:rPr>
        <w:t>9</w:t>
      </w:r>
      <w:r>
        <w:rPr>
          <w:rFonts w:hint="eastAsia" w:ascii="仿宋_GB2312" w:hAnsi="华文仿宋" w:eastAsia="仿宋_GB2312" w:cs="Arial"/>
          <w:bCs/>
          <w:color w:val="auto"/>
          <w:sz w:val="32"/>
          <w:szCs w:val="32"/>
        </w:rPr>
        <w:t>分）：系统功能可视化设计及效果、各系统功能应用与对接程度、功能设计科学性等方面综合评定良好的；</w:t>
      </w:r>
    </w:p>
    <w:p>
      <w:pPr>
        <w:pStyle w:val="18"/>
        <w:ind w:firstLine="640" w:firstLineChars="200"/>
        <w:rPr>
          <w:rFonts w:ascii="仿宋_GB2312" w:hAnsi="华文仿宋" w:eastAsia="仿宋_GB2312" w:cs="Arial"/>
          <w:bCs/>
          <w:color w:val="auto"/>
          <w:sz w:val="32"/>
          <w:szCs w:val="32"/>
        </w:rPr>
      </w:pPr>
      <w:r>
        <w:rPr>
          <w:rFonts w:hint="eastAsia" w:ascii="仿宋_GB2312" w:hAnsi="华文仿宋" w:eastAsia="仿宋_GB2312" w:cs="Arial"/>
          <w:bCs/>
          <w:color w:val="auto"/>
          <w:sz w:val="32"/>
          <w:szCs w:val="32"/>
        </w:rPr>
        <w:t>三档（</w:t>
      </w:r>
      <w:r>
        <w:rPr>
          <w:rFonts w:hint="eastAsia" w:ascii="仿宋_GB2312" w:hAnsi="华文仿宋" w:eastAsia="仿宋_GB2312" w:cs="Arial"/>
          <w:bCs/>
          <w:color w:val="auto"/>
          <w:sz w:val="32"/>
          <w:szCs w:val="32"/>
          <w:lang w:val="en-US" w:eastAsia="zh-CN"/>
        </w:rPr>
        <w:t>12</w:t>
      </w:r>
      <w:r>
        <w:rPr>
          <w:rFonts w:hint="eastAsia" w:ascii="仿宋_GB2312" w:hAnsi="华文仿宋" w:eastAsia="仿宋_GB2312" w:cs="Arial"/>
          <w:bCs/>
          <w:color w:val="auto"/>
          <w:sz w:val="32"/>
          <w:szCs w:val="32"/>
        </w:rPr>
        <w:t>分）系统功能可视化设计及效果、各系统功能应用与对接程度、功能设计科学性等方面综合评定优秀的；</w:t>
      </w:r>
    </w:p>
    <w:p>
      <w:pPr>
        <w:pStyle w:val="18"/>
        <w:ind w:firstLine="422" w:firstLineChars="200"/>
        <w:rPr>
          <w:rFonts w:ascii="仿宋_GB2312" w:hAnsi="华文仿宋" w:eastAsia="仿宋_GB2312" w:cs="Arial"/>
          <w:b/>
          <w:bCs/>
          <w:color w:val="auto"/>
          <w:sz w:val="21"/>
          <w:szCs w:val="21"/>
        </w:rPr>
      </w:pPr>
      <w:r>
        <w:rPr>
          <w:rFonts w:hint="eastAsia" w:ascii="仿宋_GB2312" w:hAnsi="华文仿宋" w:eastAsia="仿宋_GB2312" w:cs="Arial"/>
          <w:b/>
          <w:bCs/>
          <w:color w:val="auto"/>
          <w:sz w:val="21"/>
          <w:szCs w:val="21"/>
        </w:rPr>
        <w:t>注：1.供应商可通过所提供软件产品的原型系统或已实施完成的同类医院</w:t>
      </w:r>
      <w:r>
        <w:rPr>
          <w:rFonts w:hint="eastAsia" w:ascii="仿宋_GB2312" w:hAnsi="华文仿宋" w:eastAsia="仿宋_GB2312" w:cs="Arial"/>
          <w:b/>
          <w:bCs/>
          <w:color w:val="auto"/>
          <w:sz w:val="21"/>
          <w:szCs w:val="21"/>
          <w:lang w:val="en-US" w:eastAsia="zh-CN"/>
        </w:rPr>
        <w:t>HRP</w:t>
      </w:r>
      <w:r>
        <w:rPr>
          <w:rFonts w:hint="eastAsia" w:ascii="仿宋_GB2312" w:hAnsi="华文仿宋" w:eastAsia="仿宋_GB2312" w:cs="Arial"/>
          <w:b/>
          <w:bCs/>
          <w:color w:val="auto"/>
          <w:sz w:val="21"/>
          <w:szCs w:val="21"/>
        </w:rPr>
        <w:t>系统软件产品进行演示，</w:t>
      </w:r>
      <w:r>
        <w:rPr>
          <w:rFonts w:hint="eastAsia" w:ascii="仿宋_GB2312" w:hAnsi="华文仿宋" w:eastAsia="仿宋_GB2312" w:cs="Arial"/>
          <w:b/>
          <w:bCs/>
          <w:color w:val="FF0000"/>
          <w:sz w:val="21"/>
          <w:szCs w:val="21"/>
        </w:rPr>
        <w:t>具体演示时间以医院通知为准</w:t>
      </w:r>
      <w:r>
        <w:rPr>
          <w:rFonts w:hint="eastAsia" w:ascii="仿宋_GB2312" w:hAnsi="华文仿宋" w:eastAsia="仿宋_GB2312" w:cs="Arial"/>
          <w:b/>
          <w:bCs/>
          <w:color w:val="auto"/>
          <w:sz w:val="21"/>
          <w:szCs w:val="21"/>
        </w:rPr>
        <w:t>，供应商自行准备演示相关设备，演示现场仅提供电源。2.供应商未进行功能演示的，或者相应项功能演示未完成的，或所提供的演示为视频录像文件、PPT等非现场实时系统功能操作演示的，均相应不予认可，“系统功能演示分”记</w:t>
      </w:r>
      <w:r>
        <w:rPr>
          <w:rFonts w:ascii="仿宋_GB2312" w:hAnsi="华文仿宋" w:eastAsia="仿宋_GB2312" w:cs="Arial"/>
          <w:b/>
          <w:bCs/>
          <w:color w:val="auto"/>
          <w:sz w:val="21"/>
          <w:szCs w:val="21"/>
        </w:rPr>
        <w:t>0</w:t>
      </w:r>
      <w:r>
        <w:rPr>
          <w:rFonts w:hint="eastAsia" w:ascii="仿宋_GB2312" w:hAnsi="华文仿宋" w:eastAsia="仿宋_GB2312" w:cs="Arial"/>
          <w:b/>
          <w:bCs/>
          <w:color w:val="auto"/>
          <w:sz w:val="21"/>
          <w:szCs w:val="21"/>
        </w:rPr>
        <w:t>分。</w:t>
      </w:r>
    </w:p>
    <w:p>
      <w:pPr>
        <w:pStyle w:val="18"/>
        <w:rPr>
          <w:rFonts w:ascii="仿宋_GB2312" w:hAnsi="华文仿宋" w:eastAsia="仿宋_GB2312" w:cs="Arial"/>
          <w:b/>
          <w:bCs/>
          <w:color w:val="auto"/>
          <w:sz w:val="32"/>
          <w:szCs w:val="32"/>
        </w:rPr>
      </w:pPr>
      <w:r>
        <w:rPr>
          <w:rFonts w:hint="eastAsia" w:ascii="仿宋_GB2312" w:hAnsi="华文仿宋" w:eastAsia="仿宋_GB2312" w:cs="Arial"/>
          <w:b/>
          <w:bCs/>
          <w:color w:val="auto"/>
          <w:sz w:val="32"/>
          <w:szCs w:val="32"/>
        </w:rPr>
        <w:t>3</w:t>
      </w:r>
      <w:r>
        <w:rPr>
          <w:rFonts w:ascii="仿宋_GB2312" w:hAnsi="华文仿宋" w:eastAsia="仿宋_GB2312" w:cs="Arial"/>
          <w:b/>
          <w:bCs/>
          <w:color w:val="auto"/>
          <w:sz w:val="32"/>
          <w:szCs w:val="32"/>
        </w:rPr>
        <w:t>.</w:t>
      </w:r>
      <w:r>
        <w:rPr>
          <w:rFonts w:hint="eastAsia" w:ascii="仿宋_GB2312" w:hAnsi="华文仿宋" w:eastAsia="仿宋_GB2312" w:cs="Arial"/>
          <w:b/>
          <w:bCs/>
          <w:color w:val="auto"/>
          <w:sz w:val="32"/>
          <w:szCs w:val="32"/>
        </w:rPr>
        <w:t>售后服务分（满分</w:t>
      </w:r>
      <w:r>
        <w:rPr>
          <w:rFonts w:hint="eastAsia" w:ascii="仿宋_GB2312" w:hAnsi="华文仿宋" w:eastAsia="仿宋_GB2312" w:cs="Arial"/>
          <w:b/>
          <w:bCs/>
          <w:color w:val="auto"/>
          <w:sz w:val="32"/>
          <w:szCs w:val="32"/>
          <w:lang w:val="en-US" w:eastAsia="zh-CN"/>
        </w:rPr>
        <w:t>9</w:t>
      </w:r>
      <w:r>
        <w:rPr>
          <w:rFonts w:hint="eastAsia" w:ascii="仿宋_GB2312" w:hAnsi="华文仿宋" w:eastAsia="仿宋_GB2312" w:cs="Arial"/>
          <w:b/>
          <w:bCs/>
          <w:color w:val="auto"/>
          <w:sz w:val="32"/>
          <w:szCs w:val="32"/>
        </w:rPr>
        <w:t>分）</w:t>
      </w:r>
    </w:p>
    <w:p>
      <w:pPr>
        <w:pStyle w:val="18"/>
        <w:ind w:firstLine="640" w:firstLineChars="200"/>
        <w:rPr>
          <w:rFonts w:ascii="仿宋_GB2312" w:hAnsi="华文仿宋" w:eastAsia="仿宋_GB2312" w:cs="Arial"/>
          <w:bCs/>
          <w:color w:val="auto"/>
          <w:sz w:val="32"/>
          <w:szCs w:val="32"/>
        </w:rPr>
      </w:pPr>
      <w:r>
        <w:rPr>
          <w:rFonts w:hint="eastAsia" w:ascii="仿宋_GB2312" w:hAnsi="华文仿宋" w:eastAsia="仿宋_GB2312" w:cs="Arial"/>
          <w:bCs/>
          <w:color w:val="auto"/>
          <w:sz w:val="32"/>
          <w:szCs w:val="32"/>
        </w:rPr>
        <w:t>（1）售后服务保障能力分</w:t>
      </w:r>
    </w:p>
    <w:p>
      <w:pPr>
        <w:pStyle w:val="18"/>
        <w:ind w:firstLine="640" w:firstLineChars="200"/>
        <w:rPr>
          <w:rFonts w:ascii="仿宋_GB2312" w:hAnsi="华文仿宋" w:eastAsia="仿宋_GB2312" w:cs="Arial"/>
          <w:bCs/>
          <w:color w:val="auto"/>
          <w:sz w:val="32"/>
          <w:szCs w:val="32"/>
        </w:rPr>
      </w:pPr>
      <w:r>
        <w:rPr>
          <w:rFonts w:hint="eastAsia" w:ascii="仿宋_GB2312" w:hAnsi="华文仿宋" w:eastAsia="仿宋_GB2312" w:cs="Arial"/>
          <w:bCs/>
          <w:color w:val="auto"/>
          <w:sz w:val="32"/>
          <w:szCs w:val="32"/>
        </w:rPr>
        <w:t>①供应商在本项目所在地具有售后服务保障能力（提供相应有效证明材料，可以是供应商在</w:t>
      </w:r>
      <w:r>
        <w:rPr>
          <w:rFonts w:hint="eastAsia" w:ascii="仿宋_GB2312" w:hAnsi="华文仿宋" w:eastAsia="仿宋_GB2312" w:cs="Arial"/>
          <w:bCs/>
          <w:color w:val="auto"/>
          <w:sz w:val="32"/>
          <w:szCs w:val="32"/>
          <w:lang w:eastAsia="zh-CN"/>
        </w:rPr>
        <w:t>广西</w:t>
      </w:r>
      <w:r>
        <w:rPr>
          <w:rFonts w:hint="eastAsia" w:ascii="仿宋_GB2312" w:hAnsi="华文仿宋" w:eastAsia="仿宋_GB2312" w:cs="Arial"/>
          <w:bCs/>
          <w:color w:val="auto"/>
          <w:sz w:val="32"/>
          <w:szCs w:val="32"/>
        </w:rPr>
        <w:t>设有固定经营场所的相关证明材料】，得2分。</w:t>
      </w:r>
    </w:p>
    <w:p>
      <w:pPr>
        <w:pStyle w:val="18"/>
        <w:ind w:firstLine="640" w:firstLineChars="200"/>
        <w:rPr>
          <w:rFonts w:hint="eastAsia" w:ascii="仿宋_GB2312" w:hAnsi="华文仿宋" w:eastAsia="仿宋_GB2312" w:cs="Arial"/>
          <w:bCs/>
          <w:color w:val="auto"/>
          <w:sz w:val="32"/>
          <w:szCs w:val="32"/>
        </w:rPr>
      </w:pPr>
      <w:r>
        <w:rPr>
          <w:rFonts w:hint="eastAsia" w:ascii="仿宋_GB2312" w:hAnsi="华文仿宋" w:eastAsia="仿宋_GB2312" w:cs="Arial"/>
          <w:bCs/>
          <w:color w:val="auto"/>
          <w:sz w:val="32"/>
          <w:szCs w:val="32"/>
        </w:rPr>
        <w:t>②供应商针对本项目配备有日常维护技术人员的（投标文件中提供日常维护技术人员一览表及供应商为技术人员交纳的社保证明复印件），每配备1名技术人员得1分，最多得4分。</w:t>
      </w:r>
    </w:p>
    <w:p>
      <w:pPr>
        <w:pStyle w:val="18"/>
        <w:ind w:firstLine="640" w:firstLineChars="200"/>
        <w:rPr>
          <w:rFonts w:hint="eastAsia" w:ascii="仿宋_GB2312" w:hAnsi="华文仿宋" w:eastAsia="仿宋_GB2312" w:cs="Arial"/>
          <w:bCs/>
          <w:color w:val="auto"/>
          <w:sz w:val="32"/>
          <w:szCs w:val="32"/>
          <w:lang w:val="en-US" w:eastAsia="zh-CN"/>
        </w:rPr>
      </w:pPr>
      <w:r>
        <w:rPr>
          <w:rFonts w:hint="default" w:ascii="仿宋_GB2312" w:hAnsi="华文仿宋" w:eastAsia="仿宋_GB2312" w:cs="Arial"/>
          <w:bCs/>
          <w:color w:val="auto"/>
          <w:sz w:val="32"/>
          <w:szCs w:val="32"/>
        </w:rPr>
        <w:t>③</w:t>
      </w:r>
      <w:r>
        <w:rPr>
          <w:rFonts w:hint="eastAsia" w:ascii="仿宋_GB2312" w:hAnsi="华文仿宋" w:eastAsia="仿宋_GB2312" w:cs="Arial"/>
          <w:bCs/>
          <w:color w:val="auto"/>
          <w:sz w:val="32"/>
          <w:szCs w:val="32"/>
          <w:lang w:val="en-US" w:eastAsia="zh-CN"/>
        </w:rPr>
        <w:t>HRP软件随使用方管理流程变化，软件自身应具备较强调整能力，调整速度以及后期开发空间。因此，本项目在维护期内（含免费维护期及有偿维护期）必须满足客户化开发修改需求，针对本项目提供验收后1年工程师驻场得3分，验收后半年工程师驻场2分，验收后三个月工程师驻场1分。</w:t>
      </w:r>
    </w:p>
    <w:p>
      <w:pPr>
        <w:pStyle w:val="18"/>
        <w:rPr>
          <w:rFonts w:ascii="仿宋_GB2312" w:hAnsi="华文仿宋" w:eastAsia="仿宋_GB2312" w:cs="Arial"/>
          <w:b/>
          <w:bCs/>
          <w:color w:val="auto"/>
          <w:sz w:val="32"/>
          <w:szCs w:val="32"/>
        </w:rPr>
      </w:pPr>
      <w:r>
        <w:rPr>
          <w:rFonts w:hint="eastAsia" w:ascii="仿宋_GB2312" w:hAnsi="华文仿宋" w:eastAsia="仿宋_GB2312" w:cs="Arial"/>
          <w:b/>
          <w:bCs/>
          <w:color w:val="auto"/>
          <w:sz w:val="32"/>
          <w:szCs w:val="32"/>
        </w:rPr>
        <w:t>4.信誉业绩分（满分</w:t>
      </w:r>
      <w:r>
        <w:rPr>
          <w:rFonts w:hint="eastAsia" w:ascii="仿宋_GB2312" w:hAnsi="华文仿宋" w:eastAsia="仿宋_GB2312" w:cs="Arial"/>
          <w:b/>
          <w:bCs/>
          <w:color w:val="auto"/>
          <w:sz w:val="32"/>
          <w:szCs w:val="32"/>
          <w:lang w:val="en-US" w:eastAsia="zh-CN"/>
        </w:rPr>
        <w:t>18</w:t>
      </w:r>
      <w:r>
        <w:rPr>
          <w:rFonts w:hint="eastAsia" w:ascii="仿宋_GB2312" w:hAnsi="华文仿宋" w:eastAsia="仿宋_GB2312" w:cs="Arial"/>
          <w:b/>
          <w:bCs/>
          <w:color w:val="auto"/>
          <w:sz w:val="32"/>
          <w:szCs w:val="32"/>
        </w:rPr>
        <w:t>分）</w:t>
      </w:r>
    </w:p>
    <w:p>
      <w:pPr>
        <w:pStyle w:val="18"/>
        <w:ind w:firstLine="640" w:firstLineChars="200"/>
        <w:rPr>
          <w:rFonts w:ascii="仿宋_GB2312" w:hAnsi="华文仿宋" w:eastAsia="仿宋_GB2312" w:cs="Arial"/>
          <w:bCs/>
          <w:color w:val="auto"/>
          <w:sz w:val="32"/>
          <w:szCs w:val="32"/>
        </w:rPr>
      </w:pPr>
      <w:r>
        <w:rPr>
          <w:rFonts w:hint="eastAsia" w:ascii="仿宋_GB2312" w:hAnsi="华文仿宋" w:eastAsia="仿宋_GB2312" w:cs="Arial"/>
          <w:bCs/>
          <w:color w:val="auto"/>
          <w:sz w:val="32"/>
          <w:szCs w:val="32"/>
        </w:rPr>
        <w:t>（1）供应商通过ISO9001（质量管理体系认证）、</w:t>
      </w:r>
      <w:r>
        <w:rPr>
          <w:rFonts w:ascii="仿宋_GB2312" w:hAnsi="华文仿宋" w:eastAsia="仿宋_GB2312" w:cs="Arial"/>
          <w:bCs/>
          <w:color w:val="auto"/>
          <w:sz w:val="32"/>
          <w:szCs w:val="32"/>
        </w:rPr>
        <w:t>ISO20000</w:t>
      </w:r>
      <w:r>
        <w:rPr>
          <w:rFonts w:hint="eastAsia" w:ascii="仿宋_GB2312" w:hAnsi="华文仿宋" w:eastAsia="仿宋_GB2312" w:cs="Arial"/>
          <w:bCs/>
          <w:color w:val="auto"/>
          <w:sz w:val="32"/>
          <w:szCs w:val="32"/>
        </w:rPr>
        <w:t>（信息技术服务管理体系认证）且有效的（需提供相关有效认证证书复印件），每有1项得1分，最多得2分。</w:t>
      </w:r>
    </w:p>
    <w:p>
      <w:pPr>
        <w:pStyle w:val="18"/>
        <w:ind w:firstLine="640" w:firstLineChars="200"/>
        <w:rPr>
          <w:rFonts w:ascii="仿宋_GB2312" w:hAnsi="华文仿宋" w:eastAsia="仿宋_GB2312" w:cs="Arial"/>
          <w:bCs/>
          <w:color w:val="auto"/>
          <w:sz w:val="32"/>
          <w:szCs w:val="32"/>
        </w:rPr>
      </w:pPr>
      <w:r>
        <w:rPr>
          <w:rFonts w:hint="eastAsia" w:ascii="仿宋_GB2312" w:hAnsi="华文仿宋" w:eastAsia="仿宋_GB2312" w:cs="Arial"/>
          <w:bCs/>
          <w:color w:val="auto"/>
          <w:sz w:val="32"/>
          <w:szCs w:val="32"/>
        </w:rPr>
        <w:t>（2）供应商 2019 年以来具有承担与本次采购内容类似的项目业绩[以签订的项目合同复印件为准（能清晰反映项目的名称、种类、金额），否则将不予评审]，每有1项业绩得</w:t>
      </w:r>
      <w:r>
        <w:rPr>
          <w:rFonts w:hint="eastAsia" w:ascii="仿宋_GB2312" w:hAnsi="华文仿宋" w:eastAsia="仿宋_GB2312" w:cs="Arial"/>
          <w:bCs/>
          <w:color w:val="auto"/>
          <w:sz w:val="32"/>
          <w:szCs w:val="32"/>
          <w:lang w:val="en-US" w:eastAsia="zh-CN"/>
        </w:rPr>
        <w:t>2</w:t>
      </w:r>
      <w:r>
        <w:rPr>
          <w:rFonts w:hint="eastAsia" w:ascii="仿宋_GB2312" w:hAnsi="华文仿宋" w:eastAsia="仿宋_GB2312" w:cs="Arial"/>
          <w:bCs/>
          <w:color w:val="auto"/>
          <w:sz w:val="32"/>
          <w:szCs w:val="32"/>
        </w:rPr>
        <w:t>分，最多得</w:t>
      </w:r>
      <w:r>
        <w:rPr>
          <w:rFonts w:hint="eastAsia" w:ascii="仿宋_GB2312" w:hAnsi="华文仿宋" w:eastAsia="仿宋_GB2312" w:cs="Arial"/>
          <w:bCs/>
          <w:color w:val="auto"/>
          <w:sz w:val="32"/>
          <w:szCs w:val="32"/>
          <w:lang w:val="en-US" w:eastAsia="zh-CN"/>
        </w:rPr>
        <w:t>16</w:t>
      </w:r>
      <w:r>
        <w:rPr>
          <w:rFonts w:hint="eastAsia" w:ascii="仿宋_GB2312" w:hAnsi="华文仿宋" w:eastAsia="仿宋_GB2312" w:cs="Arial"/>
          <w:bCs/>
          <w:color w:val="auto"/>
          <w:sz w:val="32"/>
          <w:szCs w:val="32"/>
        </w:rPr>
        <w:t>分。</w:t>
      </w:r>
    </w:p>
    <w:p>
      <w:pPr>
        <w:pStyle w:val="18"/>
        <w:ind w:firstLine="643" w:firstLineChars="200"/>
        <w:rPr>
          <w:rFonts w:ascii="仿宋_GB2312" w:hAnsi="华文仿宋" w:eastAsia="仿宋_GB2312" w:cs="Arial"/>
          <w:b/>
          <w:bCs/>
          <w:color w:val="auto"/>
          <w:sz w:val="32"/>
          <w:szCs w:val="32"/>
        </w:rPr>
      </w:pPr>
      <w:r>
        <w:rPr>
          <w:rFonts w:hint="eastAsia" w:ascii="仿宋_GB2312" w:hAnsi="华文仿宋" w:eastAsia="仿宋_GB2312" w:cs="Arial"/>
          <w:b/>
          <w:bCs/>
          <w:color w:val="auto"/>
          <w:sz w:val="32"/>
          <w:szCs w:val="32"/>
        </w:rPr>
        <w:t>总得分5=1+2+3+4（满分100分）</w:t>
      </w:r>
    </w:p>
    <w:sectPr>
      <w:pgSz w:w="11906" w:h="16838"/>
      <w:pgMar w:top="1440" w:right="1588" w:bottom="1440" w:left="1588"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435D17"/>
    <w:multiLevelType w:val="multilevel"/>
    <w:tmpl w:val="8E435D17"/>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FiZGU5MzFmMWM2ZmEyYmVlYjhkODAzYTJjYzY3YjcifQ=="/>
  </w:docVars>
  <w:rsids>
    <w:rsidRoot w:val="00B55695"/>
    <w:rsid w:val="0001786F"/>
    <w:rsid w:val="00020B3A"/>
    <w:rsid w:val="000229B9"/>
    <w:rsid w:val="00026096"/>
    <w:rsid w:val="00026F0B"/>
    <w:rsid w:val="00031057"/>
    <w:rsid w:val="00034F75"/>
    <w:rsid w:val="00042E7C"/>
    <w:rsid w:val="00045644"/>
    <w:rsid w:val="00062702"/>
    <w:rsid w:val="00063058"/>
    <w:rsid w:val="000633E3"/>
    <w:rsid w:val="000B4C76"/>
    <w:rsid w:val="000D39FE"/>
    <w:rsid w:val="000F0ED4"/>
    <w:rsid w:val="00117B7E"/>
    <w:rsid w:val="0013190E"/>
    <w:rsid w:val="0014121E"/>
    <w:rsid w:val="00156AF9"/>
    <w:rsid w:val="00190505"/>
    <w:rsid w:val="00193592"/>
    <w:rsid w:val="001952A5"/>
    <w:rsid w:val="001C1BF1"/>
    <w:rsid w:val="001E32BB"/>
    <w:rsid w:val="001E6D90"/>
    <w:rsid w:val="0020521C"/>
    <w:rsid w:val="002052C4"/>
    <w:rsid w:val="00207E0C"/>
    <w:rsid w:val="0022570D"/>
    <w:rsid w:val="002320DB"/>
    <w:rsid w:val="00246965"/>
    <w:rsid w:val="002B0DBA"/>
    <w:rsid w:val="002D4649"/>
    <w:rsid w:val="00314BF6"/>
    <w:rsid w:val="00315DD5"/>
    <w:rsid w:val="00321525"/>
    <w:rsid w:val="00335633"/>
    <w:rsid w:val="0034724C"/>
    <w:rsid w:val="00355624"/>
    <w:rsid w:val="00356D17"/>
    <w:rsid w:val="003A63C2"/>
    <w:rsid w:val="003D6D8C"/>
    <w:rsid w:val="003D7AF2"/>
    <w:rsid w:val="004002CC"/>
    <w:rsid w:val="0040413D"/>
    <w:rsid w:val="00405A05"/>
    <w:rsid w:val="004B0053"/>
    <w:rsid w:val="004B1433"/>
    <w:rsid w:val="004B5CE6"/>
    <w:rsid w:val="004D2F31"/>
    <w:rsid w:val="004D61A6"/>
    <w:rsid w:val="004E1DBB"/>
    <w:rsid w:val="004E5522"/>
    <w:rsid w:val="00530C48"/>
    <w:rsid w:val="00563A11"/>
    <w:rsid w:val="00580ED4"/>
    <w:rsid w:val="005839FE"/>
    <w:rsid w:val="00596EAB"/>
    <w:rsid w:val="005A4569"/>
    <w:rsid w:val="005E544B"/>
    <w:rsid w:val="00602620"/>
    <w:rsid w:val="0060262F"/>
    <w:rsid w:val="00622567"/>
    <w:rsid w:val="00650D91"/>
    <w:rsid w:val="00667DFE"/>
    <w:rsid w:val="00683EBF"/>
    <w:rsid w:val="00693E96"/>
    <w:rsid w:val="006B484D"/>
    <w:rsid w:val="006B48A1"/>
    <w:rsid w:val="006C4886"/>
    <w:rsid w:val="006C571A"/>
    <w:rsid w:val="006D67F4"/>
    <w:rsid w:val="006E05D8"/>
    <w:rsid w:val="006F5ABB"/>
    <w:rsid w:val="00703272"/>
    <w:rsid w:val="00711B4E"/>
    <w:rsid w:val="00720566"/>
    <w:rsid w:val="00731CA8"/>
    <w:rsid w:val="007342DE"/>
    <w:rsid w:val="00747950"/>
    <w:rsid w:val="00771740"/>
    <w:rsid w:val="0079456A"/>
    <w:rsid w:val="007A24EE"/>
    <w:rsid w:val="007B5E87"/>
    <w:rsid w:val="007D0B8A"/>
    <w:rsid w:val="007E2CC6"/>
    <w:rsid w:val="007E2DAA"/>
    <w:rsid w:val="0081768B"/>
    <w:rsid w:val="00823B04"/>
    <w:rsid w:val="008365C0"/>
    <w:rsid w:val="0085760B"/>
    <w:rsid w:val="00867ADE"/>
    <w:rsid w:val="00870D4D"/>
    <w:rsid w:val="00872F2D"/>
    <w:rsid w:val="00893AE9"/>
    <w:rsid w:val="008C436D"/>
    <w:rsid w:val="008C4737"/>
    <w:rsid w:val="008D6CCC"/>
    <w:rsid w:val="008D7F57"/>
    <w:rsid w:val="008E2F91"/>
    <w:rsid w:val="008E3694"/>
    <w:rsid w:val="0090068F"/>
    <w:rsid w:val="00904FC2"/>
    <w:rsid w:val="00914DD2"/>
    <w:rsid w:val="009175D8"/>
    <w:rsid w:val="00930238"/>
    <w:rsid w:val="009329F0"/>
    <w:rsid w:val="009A2956"/>
    <w:rsid w:val="009A4E64"/>
    <w:rsid w:val="009A5F0C"/>
    <w:rsid w:val="009A692E"/>
    <w:rsid w:val="009B5E59"/>
    <w:rsid w:val="009C1310"/>
    <w:rsid w:val="00A029A7"/>
    <w:rsid w:val="00A06C38"/>
    <w:rsid w:val="00A17247"/>
    <w:rsid w:val="00A244CF"/>
    <w:rsid w:val="00A35115"/>
    <w:rsid w:val="00A4505A"/>
    <w:rsid w:val="00A54BB5"/>
    <w:rsid w:val="00A571AF"/>
    <w:rsid w:val="00A57598"/>
    <w:rsid w:val="00A644D9"/>
    <w:rsid w:val="00A75206"/>
    <w:rsid w:val="00A86729"/>
    <w:rsid w:val="00AD2DD2"/>
    <w:rsid w:val="00AF78AF"/>
    <w:rsid w:val="00B032FE"/>
    <w:rsid w:val="00B17C6B"/>
    <w:rsid w:val="00B24F0C"/>
    <w:rsid w:val="00B55695"/>
    <w:rsid w:val="00B7088A"/>
    <w:rsid w:val="00B8176F"/>
    <w:rsid w:val="00B843C7"/>
    <w:rsid w:val="00B90AB4"/>
    <w:rsid w:val="00BA5410"/>
    <w:rsid w:val="00BD1617"/>
    <w:rsid w:val="00C01EEC"/>
    <w:rsid w:val="00C25AF9"/>
    <w:rsid w:val="00C30B85"/>
    <w:rsid w:val="00C37648"/>
    <w:rsid w:val="00C80E54"/>
    <w:rsid w:val="00C8143A"/>
    <w:rsid w:val="00C97CEF"/>
    <w:rsid w:val="00CE2CAE"/>
    <w:rsid w:val="00CF3924"/>
    <w:rsid w:val="00D03F1D"/>
    <w:rsid w:val="00D11A17"/>
    <w:rsid w:val="00D2320E"/>
    <w:rsid w:val="00D356DC"/>
    <w:rsid w:val="00D44255"/>
    <w:rsid w:val="00D4518E"/>
    <w:rsid w:val="00D57BCD"/>
    <w:rsid w:val="00D60594"/>
    <w:rsid w:val="00D624A2"/>
    <w:rsid w:val="00D66E0B"/>
    <w:rsid w:val="00D7350E"/>
    <w:rsid w:val="00D7386A"/>
    <w:rsid w:val="00DB25AF"/>
    <w:rsid w:val="00DC755B"/>
    <w:rsid w:val="00DE4F2D"/>
    <w:rsid w:val="00E377D1"/>
    <w:rsid w:val="00E448CD"/>
    <w:rsid w:val="00E57673"/>
    <w:rsid w:val="00E62085"/>
    <w:rsid w:val="00E63793"/>
    <w:rsid w:val="00E70F34"/>
    <w:rsid w:val="00EA71B8"/>
    <w:rsid w:val="00EC18DE"/>
    <w:rsid w:val="00EC7C78"/>
    <w:rsid w:val="00EE0B03"/>
    <w:rsid w:val="00EE192B"/>
    <w:rsid w:val="00EF09C0"/>
    <w:rsid w:val="00EF4579"/>
    <w:rsid w:val="00EF4CDA"/>
    <w:rsid w:val="00F02ACC"/>
    <w:rsid w:val="00F15F11"/>
    <w:rsid w:val="00F20D3D"/>
    <w:rsid w:val="00F268C7"/>
    <w:rsid w:val="00F461DE"/>
    <w:rsid w:val="00F52980"/>
    <w:rsid w:val="00F56545"/>
    <w:rsid w:val="00F703BB"/>
    <w:rsid w:val="00F712CB"/>
    <w:rsid w:val="00F8017B"/>
    <w:rsid w:val="00F82FB5"/>
    <w:rsid w:val="00FB612E"/>
    <w:rsid w:val="00FE4A75"/>
    <w:rsid w:val="016A6A7B"/>
    <w:rsid w:val="01D77D3B"/>
    <w:rsid w:val="02AA0975"/>
    <w:rsid w:val="0B5B1136"/>
    <w:rsid w:val="11A56FEA"/>
    <w:rsid w:val="1CA733E2"/>
    <w:rsid w:val="1D7741FE"/>
    <w:rsid w:val="2193338F"/>
    <w:rsid w:val="22B0792E"/>
    <w:rsid w:val="23283CA2"/>
    <w:rsid w:val="241A0109"/>
    <w:rsid w:val="2B530791"/>
    <w:rsid w:val="2BEA07F4"/>
    <w:rsid w:val="2D1F49B1"/>
    <w:rsid w:val="2D86330F"/>
    <w:rsid w:val="2F4F4558"/>
    <w:rsid w:val="32A80F4E"/>
    <w:rsid w:val="3DEB4A98"/>
    <w:rsid w:val="3F7B0758"/>
    <w:rsid w:val="3F98315C"/>
    <w:rsid w:val="42B964DF"/>
    <w:rsid w:val="44ED2F7D"/>
    <w:rsid w:val="47766E8A"/>
    <w:rsid w:val="48D32BCE"/>
    <w:rsid w:val="49B53EC4"/>
    <w:rsid w:val="4A2C5EC6"/>
    <w:rsid w:val="4B572B5D"/>
    <w:rsid w:val="4FAD5157"/>
    <w:rsid w:val="51FE5218"/>
    <w:rsid w:val="53B62B65"/>
    <w:rsid w:val="568315AE"/>
    <w:rsid w:val="57201521"/>
    <w:rsid w:val="5FDE53D8"/>
    <w:rsid w:val="6C4556E2"/>
    <w:rsid w:val="6EC66E4A"/>
    <w:rsid w:val="6FA129D5"/>
    <w:rsid w:val="710238D5"/>
    <w:rsid w:val="71C50D18"/>
    <w:rsid w:val="74B80718"/>
    <w:rsid w:val="784929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wordWrap w:val="0"/>
      <w:topLinePunct/>
      <w:spacing w:line="360" w:lineRule="auto"/>
      <w:ind w:left="0" w:firstLine="0"/>
      <w:jc w:val="center"/>
      <w:outlineLvl w:val="0"/>
    </w:pPr>
    <w:rPr>
      <w:rFonts w:eastAsia="方正小标宋简体" w:asciiTheme="minorHAnsi" w:hAnsiTheme="minorHAnsi"/>
      <w:b/>
      <w:kern w:val="44"/>
      <w:sz w:val="28"/>
    </w:rPr>
  </w:style>
  <w:style w:type="paragraph" w:styleId="3">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4">
    <w:name w:val="heading 4"/>
    <w:basedOn w:val="1"/>
    <w:next w:val="1"/>
    <w:qFormat/>
    <w:uiPriority w:val="0"/>
    <w:pPr>
      <w:keepNext/>
      <w:spacing w:before="240" w:after="60"/>
      <w:outlineLvl w:val="3"/>
    </w:pPr>
    <w:rPr>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qFormat/>
    <w:uiPriority w:val="0"/>
    <w:pPr>
      <w:ind w:left="2940"/>
    </w:pPr>
  </w:style>
  <w:style w:type="paragraph" w:styleId="6">
    <w:name w:val="Normal Indent"/>
    <w:basedOn w:val="1"/>
    <w:qFormat/>
    <w:uiPriority w:val="0"/>
    <w:pPr>
      <w:ind w:firstLine="420"/>
    </w:pPr>
    <w:rPr>
      <w:szCs w:val="20"/>
    </w:rPr>
  </w:style>
  <w:style w:type="paragraph" w:styleId="7">
    <w:name w:val="annotation text"/>
    <w:basedOn w:val="1"/>
    <w:link w:val="23"/>
    <w:qFormat/>
    <w:uiPriority w:val="0"/>
    <w:pPr>
      <w:jc w:val="left"/>
    </w:pPr>
  </w:style>
  <w:style w:type="paragraph" w:styleId="8">
    <w:name w:val="Body Text"/>
    <w:basedOn w:val="1"/>
    <w:unhideWhenUsed/>
    <w:qFormat/>
    <w:uiPriority w:val="99"/>
    <w:pPr>
      <w:spacing w:after="120"/>
    </w:pPr>
  </w:style>
  <w:style w:type="paragraph" w:styleId="9">
    <w:name w:val="Plain Text"/>
    <w:basedOn w:val="1"/>
    <w:next w:val="4"/>
    <w:link w:val="25"/>
    <w:qFormat/>
    <w:uiPriority w:val="99"/>
    <w:rPr>
      <w:rFonts w:ascii="宋体" w:hAnsi="Courier New" w:cs="Courier New"/>
      <w:szCs w:val="21"/>
    </w:rPr>
  </w:style>
  <w:style w:type="paragraph" w:styleId="10">
    <w:name w:val="Balloon Text"/>
    <w:basedOn w:val="1"/>
    <w:link w:val="22"/>
    <w:qFormat/>
    <w:uiPriority w:val="0"/>
    <w:rPr>
      <w:sz w:val="18"/>
      <w:szCs w:val="18"/>
    </w:rPr>
  </w:style>
  <w:style w:type="paragraph" w:styleId="11">
    <w:name w:val="footer"/>
    <w:basedOn w:val="1"/>
    <w:link w:val="21"/>
    <w:qFormat/>
    <w:uiPriority w:val="0"/>
    <w:pPr>
      <w:tabs>
        <w:tab w:val="center" w:pos="4153"/>
        <w:tab w:val="right" w:pos="8306"/>
      </w:tabs>
      <w:snapToGrid w:val="0"/>
      <w:jc w:val="left"/>
    </w:pPr>
    <w:rPr>
      <w:sz w:val="18"/>
      <w:szCs w:val="18"/>
    </w:rPr>
  </w:style>
  <w:style w:type="paragraph" w:styleId="12">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3">
    <w:name w:val="annotation subject"/>
    <w:basedOn w:val="7"/>
    <w:next w:val="7"/>
    <w:link w:val="24"/>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annotation reference"/>
    <w:basedOn w:val="16"/>
    <w:qFormat/>
    <w:uiPriority w:val="99"/>
    <w:rPr>
      <w:sz w:val="21"/>
      <w:szCs w:val="21"/>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List Paragraph"/>
    <w:basedOn w:val="1"/>
    <w:link w:val="27"/>
    <w:qFormat/>
    <w:uiPriority w:val="34"/>
    <w:pPr>
      <w:ind w:firstLine="420" w:firstLineChars="200"/>
    </w:pPr>
    <w:rPr>
      <w:szCs w:val="22"/>
    </w:rPr>
  </w:style>
  <w:style w:type="character" w:customStyle="1" w:styleId="20">
    <w:name w:val="页眉 Char"/>
    <w:basedOn w:val="16"/>
    <w:link w:val="12"/>
    <w:qFormat/>
    <w:uiPriority w:val="0"/>
    <w:rPr>
      <w:rFonts w:ascii="Calibri" w:hAnsi="Calibri" w:eastAsia="宋体" w:cs="Times New Roman"/>
      <w:kern w:val="2"/>
      <w:sz w:val="18"/>
      <w:szCs w:val="18"/>
    </w:rPr>
  </w:style>
  <w:style w:type="character" w:customStyle="1" w:styleId="21">
    <w:name w:val="页脚 Char"/>
    <w:basedOn w:val="16"/>
    <w:link w:val="11"/>
    <w:qFormat/>
    <w:uiPriority w:val="0"/>
    <w:rPr>
      <w:rFonts w:ascii="Calibri" w:hAnsi="Calibri" w:eastAsia="宋体" w:cs="Times New Roman"/>
      <w:kern w:val="2"/>
      <w:sz w:val="18"/>
      <w:szCs w:val="18"/>
    </w:rPr>
  </w:style>
  <w:style w:type="character" w:customStyle="1" w:styleId="22">
    <w:name w:val="批注框文本 Char"/>
    <w:basedOn w:val="16"/>
    <w:link w:val="10"/>
    <w:qFormat/>
    <w:uiPriority w:val="0"/>
    <w:rPr>
      <w:rFonts w:ascii="Calibri" w:hAnsi="Calibri"/>
      <w:kern w:val="2"/>
      <w:sz w:val="18"/>
      <w:szCs w:val="18"/>
    </w:rPr>
  </w:style>
  <w:style w:type="character" w:customStyle="1" w:styleId="23">
    <w:name w:val="批注文字 Char"/>
    <w:basedOn w:val="16"/>
    <w:link w:val="7"/>
    <w:qFormat/>
    <w:uiPriority w:val="0"/>
    <w:rPr>
      <w:rFonts w:ascii="Calibri" w:hAnsi="Calibri"/>
      <w:kern w:val="2"/>
      <w:sz w:val="21"/>
      <w:szCs w:val="24"/>
    </w:rPr>
  </w:style>
  <w:style w:type="character" w:customStyle="1" w:styleId="24">
    <w:name w:val="批注主题 Char"/>
    <w:basedOn w:val="23"/>
    <w:link w:val="13"/>
    <w:qFormat/>
    <w:uiPriority w:val="0"/>
  </w:style>
  <w:style w:type="character" w:customStyle="1" w:styleId="25">
    <w:name w:val="纯文本 Char"/>
    <w:basedOn w:val="16"/>
    <w:link w:val="9"/>
    <w:qFormat/>
    <w:locked/>
    <w:uiPriority w:val="99"/>
    <w:rPr>
      <w:rFonts w:ascii="宋体" w:hAnsi="Courier New" w:cs="Courier New"/>
      <w:kern w:val="2"/>
      <w:sz w:val="21"/>
      <w:szCs w:val="21"/>
    </w:rPr>
  </w:style>
  <w:style w:type="paragraph" w:styleId="26">
    <w:name w:val="No Spacing"/>
    <w:qFormat/>
    <w:uiPriority w:val="99"/>
    <w:pPr>
      <w:widowControl w:val="0"/>
      <w:jc w:val="both"/>
    </w:pPr>
    <w:rPr>
      <w:rFonts w:ascii="Calibri" w:hAnsi="Calibri" w:eastAsia="宋体" w:cs="Calibri"/>
      <w:kern w:val="2"/>
      <w:sz w:val="21"/>
      <w:szCs w:val="21"/>
      <w:lang w:val="en-US" w:eastAsia="zh-CN" w:bidi="ar-SA"/>
    </w:rPr>
  </w:style>
  <w:style w:type="character" w:customStyle="1" w:styleId="27">
    <w:name w:val="列出段落 Char"/>
    <w:link w:val="19"/>
    <w:qFormat/>
    <w:locked/>
    <w:uiPriority w:val="34"/>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82B96B-4D50-4149-82B2-6802312DD7A0}">
  <ds:schemaRefs/>
</ds:datastoreItem>
</file>

<file path=docProps/app.xml><?xml version="1.0" encoding="utf-8"?>
<Properties xmlns="http://schemas.openxmlformats.org/officeDocument/2006/extended-properties" xmlns:vt="http://schemas.openxmlformats.org/officeDocument/2006/docPropsVTypes">
  <Template>Normal</Template>
  <Company>YZL</Company>
  <Pages>4</Pages>
  <Words>1514</Words>
  <Characters>1604</Characters>
  <Lines>13</Lines>
  <Paragraphs>3</Paragraphs>
  <TotalTime>19</TotalTime>
  <ScaleCrop>false</ScaleCrop>
  <LinksUpToDate>false</LinksUpToDate>
  <CharactersWithSpaces>1754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2021-08-18T10:04:00Z</dcterms:created>
  <dc:creator>Administrator</dc:creator>
  <cp:lastModifiedBy>abc</cp:lastModifiedBy>
  <dcterms:modified xsi:type="dcterms:W3CDTF">2022-07-08T09:23:24Z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DD87C8B3EA0E44CEAE93B85B1CB9658F</vt:lpwstr>
  </property>
</Properties>
</file>