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57"/>
          <w:szCs w:val="57"/>
        </w:rPr>
      </w:pPr>
      <w:bookmarkStart w:id="0" w:name="_GoBack"/>
      <w:r>
        <w:rPr>
          <w:rFonts w:hint="eastAsia" w:ascii="微软雅黑" w:hAnsi="微软雅黑" w:eastAsia="微软雅黑" w:cs="微软雅黑"/>
          <w:b w:val="0"/>
          <w:i w:val="0"/>
          <w:caps w:val="0"/>
          <w:color w:val="333333"/>
          <w:spacing w:val="0"/>
          <w:sz w:val="57"/>
          <w:szCs w:val="57"/>
          <w:shd w:val="clear" w:fill="FFFFFF"/>
        </w:rPr>
        <w:t>中华人民共和国药品管理法</w:t>
      </w:r>
      <w:bookmarkEnd w:id="0"/>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2019-08-26 23:20 来源： 新华社</w:t>
      </w:r>
    </w:p>
    <w:p>
      <w:pPr>
        <w:keepNext w:val="0"/>
        <w:keepLines w:val="0"/>
        <w:widowControl/>
        <w:suppressLineNumbers w:val="0"/>
        <w:pBdr>
          <w:top w:val="none" w:color="auto" w:sz="0" w:space="0"/>
          <w:left w:val="none" w:color="auto" w:sz="0" w:space="0"/>
          <w:bottom w:val="none" w:color="DCDCDC"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【字体：大 中 小】打印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898989"/>
          <w:spacing w:val="0"/>
          <w:sz w:val="21"/>
          <w:szCs w:val="21"/>
        </w:rPr>
      </w:pPr>
      <w:r>
        <w:rPr>
          <w:rFonts w:hint="eastAsia" w:ascii="宋体" w:hAnsi="宋体" w:eastAsia="宋体" w:cs="宋体"/>
          <w:i w:val="0"/>
          <w:caps w:val="0"/>
          <w:color w:val="000000"/>
          <w:spacing w:val="0"/>
          <w:kern w:val="0"/>
          <w:sz w:val="21"/>
          <w:szCs w:val="21"/>
          <w:u w:val="none"/>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shd w:val="clear" w:fill="FFFFFF"/>
          <w:lang w:val="en-US" w:eastAsia="zh-CN" w:bidi="ar"/>
        </w:rPr>
        <w:instrText xml:space="preserve"> HYPERLINK "http://share.gwd.gov.cn/" \t "http://www.gov.cn/xinwen/2019-08/26/_blank" </w:instrText>
      </w:r>
      <w:r>
        <w:rPr>
          <w:rFonts w:hint="eastAsia" w:ascii="宋体" w:hAnsi="宋体" w:eastAsia="宋体" w:cs="宋体"/>
          <w:i w:val="0"/>
          <w:caps w:val="0"/>
          <w:color w:val="000000"/>
          <w:spacing w:val="0"/>
          <w:kern w:val="0"/>
          <w:sz w:val="21"/>
          <w:szCs w:val="21"/>
          <w:u w:val="none"/>
          <w:shd w:val="clear" w:fill="FFFFFF"/>
          <w:lang w:val="en-US" w:eastAsia="zh-CN" w:bidi="ar"/>
        </w:rPr>
        <w:fldChar w:fldCharType="separate"/>
      </w:r>
      <w:r>
        <w:rPr>
          <w:rFonts w:hint="eastAsia" w:ascii="宋体" w:hAnsi="宋体" w:eastAsia="宋体" w:cs="宋体"/>
          <w:i w:val="0"/>
          <w:caps w:val="0"/>
          <w:color w:val="000000"/>
          <w:spacing w:val="0"/>
          <w:kern w:val="0"/>
          <w:sz w:val="21"/>
          <w:szCs w:val="21"/>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898989"/>
          <w:spacing w:val="0"/>
          <w:sz w:val="21"/>
          <w:szCs w:val="21"/>
        </w:rPr>
      </w:pPr>
      <w:r>
        <w:rPr>
          <w:rFonts w:hint="eastAsia" w:ascii="宋体" w:hAnsi="宋体" w:eastAsia="宋体" w:cs="宋体"/>
          <w:i w:val="0"/>
          <w:caps w:val="0"/>
          <w:color w:val="000000"/>
          <w:spacing w:val="0"/>
          <w:kern w:val="0"/>
          <w:sz w:val="21"/>
          <w:szCs w:val="21"/>
          <w:u w:val="none"/>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shd w:val="clear" w:fill="FFFFFF"/>
          <w:lang w:val="en-US" w:eastAsia="zh-CN" w:bidi="ar"/>
        </w:rPr>
        <w:instrText xml:space="preserve"> HYPERLINK "http://www.gov.cn/xinwen/2019-08/26/content_5424780.htm" \o "微信" </w:instrText>
      </w:r>
      <w:r>
        <w:rPr>
          <w:rFonts w:hint="eastAsia" w:ascii="宋体" w:hAnsi="宋体" w:eastAsia="宋体" w:cs="宋体"/>
          <w:i w:val="0"/>
          <w:caps w:val="0"/>
          <w:color w:val="000000"/>
          <w:spacing w:val="0"/>
          <w:kern w:val="0"/>
          <w:sz w:val="21"/>
          <w:szCs w:val="21"/>
          <w:u w:val="none"/>
          <w:shd w:val="clear" w:fill="FFFFFF"/>
          <w:lang w:val="en-US" w:eastAsia="zh-CN" w:bidi="ar"/>
        </w:rPr>
        <w:fldChar w:fldCharType="separate"/>
      </w:r>
      <w:r>
        <w:rPr>
          <w:rStyle w:val="6"/>
          <w:rFonts w:hint="eastAsia" w:ascii="宋体" w:hAnsi="宋体" w:eastAsia="宋体" w:cs="宋体"/>
          <w:i w:val="0"/>
          <w:caps w:val="0"/>
          <w:color w:val="000000"/>
          <w:spacing w:val="0"/>
          <w:sz w:val="21"/>
          <w:szCs w:val="21"/>
          <w:u w:val="none"/>
          <w:shd w:val="clear" w:fill="FFFFFF"/>
        </w:rPr>
        <w:t> </w:t>
      </w:r>
      <w:r>
        <w:rPr>
          <w:rFonts w:hint="eastAsia" w:ascii="宋体" w:hAnsi="宋体" w:eastAsia="宋体" w:cs="宋体"/>
          <w:i w:val="0"/>
          <w:caps w:val="0"/>
          <w:color w:val="000000"/>
          <w:spacing w:val="0"/>
          <w:kern w:val="0"/>
          <w:sz w:val="21"/>
          <w:szCs w:val="21"/>
          <w:u w:val="none"/>
          <w:shd w:val="clear" w:fill="FFFFFF"/>
          <w:lang w:val="en-US" w:eastAsia="zh-CN" w:bidi="ar"/>
        </w:rPr>
        <w:fldChar w:fldCharType="end"/>
      </w:r>
      <w:r>
        <w:rPr>
          <w:rFonts w:hint="eastAsia" w:ascii="宋体" w:hAnsi="宋体" w:eastAsia="宋体" w:cs="宋体"/>
          <w:i w:val="0"/>
          <w:caps w:val="0"/>
          <w:color w:val="000000"/>
          <w:spacing w:val="0"/>
          <w:kern w:val="0"/>
          <w:sz w:val="21"/>
          <w:szCs w:val="21"/>
          <w:u w:val="none"/>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shd w:val="clear" w:fill="FFFFFF"/>
          <w:lang w:val="en-US" w:eastAsia="zh-CN" w:bidi="ar"/>
        </w:rPr>
        <w:instrText xml:space="preserve"> HYPERLINK "http://www.gov.cn/xinwen/2019-08/26/content_5424780.htm" \o "新浪微博" </w:instrText>
      </w:r>
      <w:r>
        <w:rPr>
          <w:rFonts w:hint="eastAsia" w:ascii="宋体" w:hAnsi="宋体" w:eastAsia="宋体" w:cs="宋体"/>
          <w:i w:val="0"/>
          <w:caps w:val="0"/>
          <w:color w:val="000000"/>
          <w:spacing w:val="0"/>
          <w:kern w:val="0"/>
          <w:sz w:val="21"/>
          <w:szCs w:val="21"/>
          <w:u w:val="none"/>
          <w:shd w:val="clear" w:fill="FFFFFF"/>
          <w:lang w:val="en-US" w:eastAsia="zh-CN" w:bidi="ar"/>
        </w:rPr>
        <w:fldChar w:fldCharType="separate"/>
      </w:r>
      <w:r>
        <w:rPr>
          <w:rStyle w:val="6"/>
          <w:rFonts w:hint="eastAsia" w:ascii="宋体" w:hAnsi="宋体" w:eastAsia="宋体" w:cs="宋体"/>
          <w:i w:val="0"/>
          <w:caps w:val="0"/>
          <w:color w:val="000000"/>
          <w:spacing w:val="0"/>
          <w:sz w:val="21"/>
          <w:szCs w:val="21"/>
          <w:u w:val="none"/>
          <w:shd w:val="clear" w:fill="FFFFFF"/>
        </w:rPr>
        <w:t> </w:t>
      </w:r>
      <w:r>
        <w:rPr>
          <w:rFonts w:hint="eastAsia" w:ascii="宋体" w:hAnsi="宋体" w:eastAsia="宋体" w:cs="宋体"/>
          <w:i w:val="0"/>
          <w:caps w:val="0"/>
          <w:color w:val="000000"/>
          <w:spacing w:val="0"/>
          <w:kern w:val="0"/>
          <w:sz w:val="21"/>
          <w:szCs w:val="21"/>
          <w:u w:val="none"/>
          <w:shd w:val="clear" w:fill="FFFFFF"/>
          <w:lang w:val="en-US" w:eastAsia="zh-CN" w:bidi="ar"/>
        </w:rPr>
        <w:fldChar w:fldCharType="end"/>
      </w:r>
      <w:r>
        <w:rPr>
          <w:rFonts w:hint="eastAsia" w:ascii="宋体" w:hAnsi="宋体" w:eastAsia="宋体" w:cs="宋体"/>
          <w:i w:val="0"/>
          <w:caps w:val="0"/>
          <w:color w:val="898989"/>
          <w:spacing w:val="0"/>
          <w:kern w:val="0"/>
          <w:sz w:val="21"/>
          <w:szCs w:val="21"/>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新华社北京8月26日电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99"/>
          <w:spacing w:val="0"/>
          <w:sz w:val="24"/>
          <w:szCs w:val="24"/>
          <w:shd w:val="clear" w:fill="FFFFFF"/>
        </w:rPr>
        <w:t>中华人民共和国药品管理法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sz w:val="24"/>
          <w:szCs w:val="24"/>
        </w:rPr>
      </w:pPr>
      <w:r>
        <w:rPr>
          <w:rFonts w:ascii="楷体_GB2312" w:hAnsi="楷体_GB2312" w:eastAsia="楷体_GB2312" w:cs="楷体_GB2312"/>
          <w:i w:val="0"/>
          <w:caps w:val="0"/>
          <w:color w:val="333399"/>
          <w:spacing w:val="0"/>
          <w:sz w:val="24"/>
          <w:szCs w:val="24"/>
          <w:shd w:val="clear" w:fill="FFFFFF"/>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第二章　药品研制和注册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第三章　药品上市许可持有人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第四章　药品生产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第五章　药品经营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第六章　医疗机构药事管理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第七章　药品上市后管理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第八章　药品价格和广告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第九章　药品储备和供应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第十一章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第一条　为了加强药品管理，保证药品质量，保障公众用药安全和合法权益，保护和促进公众健康，制定本法。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第二条　在中华人民共和国境内从事药品研制、生产、经营、使用和监督管理活动，适用本法。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本法所称药品，是指用于预防、治疗、诊断人的疾病，有目的地调节人的生理机能并规定有适应症或者功能主治、用法和用量的物质，包括中药、化学药和生物制品等。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第三条　药品管理应当以人民健康为中心，坚持风险管理、全程管控、社会共治的原则，建立科学、严格的监督管理制度，全面提升药品质量，保障药品的安全、有效、可及。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第四条　国家发展现代药和传统药，充分发挥其在预防、医疗和保健中的作用。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国家保护野生药材资源和中药品种，鼓励培育道地中药材。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第五条　国家鼓励研究和创制新药，保护公民、法人和其他组织研究、开发新药的合法权益。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第六条　国家对药品管理实行药品上市许可持有人制度。药品上市许可持有人依法对药品研制、生产、经营、使用全过程中药品的安全性、有效性和质量可控性负责。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第七条　从事药品研制、生产、经营、使用活动，应当遵守法律、法规、规章、标准和规范，保证全过程信息真实、准确、完整和可追溯。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第九条　县级以上地方人民政府对本行政区域内的药品监督管理工作负责，统一领导、组织、协调本行政区域内的药品监督管理工作以及药品安全突发事件应对工作，建立健全药品监督管理工作机制和信息共享机制。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第十条　县级以上人民政府应当将药品安全工作纳入本级国民经济和社会发展规划，将药品安全工作经费列入本级政府预算，加强药品监督管理能力建设，为药品安全工作提供保障。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第十一条　药品监督管理部门设置或者指定的药品专业技术机构，承担依法实施药品监督管理所需的审评、检验、核查、监测与评价等工作。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第十二条　国家建立健全药品追溯制度。国务院药品监督管理部门应当制定统一的药品追溯标准和规范，推进药品追溯信息互通互享，实现药品可追溯。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国家建立药物警戒制度，对药品不良反应及其他与用药有关的有害反应进行监测、识别、评估和控制。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第十三条　各级人民政府及其有关部门、药品行业协会等应当加强药品安全宣传教育，开展药品安全法律法规等知识的普及工作。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新闻媒体应当开展药品安全法律法规等知识的公益宣传，并对药品违法行为进行舆论监督。有关药品的宣传报道应当全面、科学、客观、公正。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第十四条　药品行业协会应当加强行业自律，建立健全行业规范，推动行业诚信体系建设，引导和督促会员依法开展药品生产经营等活动。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第十五条　县级以上人民政府及其有关部门对在药品研制、生产、经营、使用和监督管理工作中做出突出贡献的单位和个人，按照国家有关规定给予表彰、奖励。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第二章　药品研制和注册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国家鼓励运用现代科学技术和传统中药研究方法开展中药科学技术研究和药物开发，建立和完善符合中药特点的技术评价体系，促进中药传承创新。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国家采取有效措施，鼓励儿童用药品的研制和创新，支持开发符合儿童生理特征的儿童用药品新品种、剂型和规格，对儿童用药品予以优先审评审批。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第十七条　从事药品研制活动，应当遵守药物非临床研究质量管理规范、药物临床试验质量管理规范，保证药品研制全过程持续符合法定要求。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药物非临床研究质量管理规范、药物临床试验质量管理规范由国务院药品监督管理部门会同国务院有关部门制定。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第十八条　开展药物非临床研究，应当符合国家有关规定，有与研究项目相适应的人员、场地、设备、仪器和管理制度，保证有关数据、资料和样品的真实性。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开展药物临床试验，应当在具备相应条件的临床试验机构进行。药物临床试验机构实行备案管理，具体办法由国务院药品监督管理部门、国务院卫生健康主管部门共同制定。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第二十条　开展药物临床试验，应当符合伦理原则，制定临床试验方案，经伦理委员会审查同意。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伦理委员会应当建立伦理审查工作制度，保证伦理审查过程独立、客观、公正，监督规范开展药物临床试验，保障受试者合法权益，维护社会公共利益。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第二十一条　实施药物临床试验，应当向受试者或者其监护人如实说明和解释临床试验的目的和风险等详细情况，取得受试者或者其监护人自愿签署的知情同意书，并采取有效措施保护受试者合法权益。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第二十三条　对正在开展临床试验的用于治疗严重危及生命且尚无有效治疗手段的疾病的药物，经医学观察可能获益，并且符合伦理原则的，经审查、知情同意后可以在开展临床试验的机构内用于其他病情相同的患者。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申请药品注册，应当提供真实、充分、可靠的数据、资料和样品，证明药品的安全性、有效性和质量可控性。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国务院药品监督管理部门在审批药品时，对化学原料药一并审评审批，对相关辅料、直接接触药品的包装材料和容器一并审评，对药品的质量标准、生产工艺、标签和说明书一并核准。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本法所称辅料，是指生产药品和调配处方时所用的赋形剂和附加剂。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第二十六条　对治疗严重危及生命且尚无有效治疗手段的疾病以及公共卫生方面急需的药品，药物临床试验已有数据显示疗效并能预测其临床价值的，可以附条件批准，并在药品注册证书中载明相关事项。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第二十七条　国务院药品监督管理部门应当完善药品审评审批工作制度，加强能力建设，建立健全沟通交流、专家咨询等机制，优化审评审批流程，提高审评审批效率。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批准上市药品的审评结论和依据应当依法公开，接受社会监督。对审评审批中知悉的商业秘密应当保密。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第二十八条　药品应当符合国家药品标准。经国务院药品监督管理部门核准的药品质量标准高于国家药品标准的，按照经核准的药品质量标准执行；没有国家药品标准的，应当符合经核准的药品质量标准。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国务院药品监督管理部门颁布的《中华人民共和国药典》和药品标准为国家药品标准。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国务院药品监督管理部门会同国务院卫生健康主管部门组织药典委员会，负责国家药品标准的制定和修订。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国务院药品监督管理部门设置或者指定的药品检验机构负责标定国家药品标准品、对照品。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第二十九条　列入国家药品标准的药品名称为药品通用名称。已经作为药品通用名称的，该名称不得作为药品商标使用。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第三章　药品上市许可持有人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第三十条　药品上市许可持有人是指取得药品注册证书的企业或者药品研制机构等。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药品上市许可持有人的法定代表人、主要负责人对药品质量全面负责。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第三十一条　药品上市许可持有人应当建立药品质量保证体系，配备专门人员独立负责药品质量管理。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药品上市许可持有人应当对受托药品生产企业、药品经营企业的质量管理体系进行定期审核，监督其持续具备质量保证和控制能力。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第三十二条　药品上市许可持有人可以自行生产药品，也可以委托药品生产企业生产。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国务院药品监督管理部门制定药品委托生产质量协议指南，指导、监督药品上市许可持有人和受托生产企业履行药品质量保证义务。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血液制品、麻醉药品、精神药品、医疗用毒性药品、药品类易制毒化学品不得委托生产；但是，国务院药品监督管理部门另有规定的除外。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第三十三条　药品上市许可持有人应当建立药品上市放行规程，对药品生产企业出厂放行的药品进行审核，经质量受权人签字后方可放行。不符合国家药品标准的，不得放行。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第三十四条　药品上市许可持有人可以自行销售其取得药品注册证书的药品，也可以委托药品经营企业销售。药品上市许可持有人从事药品零售活动的，应当取得药品经营许可证。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第三十六条　药品上市许可持有人、药品生产企业、药品经营企业和医疗机构应当建立并实施药品追溯制度，按照规定提供追溯信息，保证药品可追溯。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第三十七条　药品上市许可持有人应当建立年度报告制度，每年将药品生产销售、上市后研究、风险管理等情况按照规定向省、自治区、直辖市人民政府药品监督管理部门报告。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第三十八条　药品上市许可持有人为境外企业的，应当由其指定的在中国境内的企业法人履行药品上市许可持有人义务，与药品上市许可持有人承担连带责任。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第三十九条　中药饮片生产企业履行药品上市许可持有人的相关义务，对中药饮片生产、销售实行全过程管理，建立中药饮片追溯体系，保证中药饮片安全、有效、可追溯。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第四章　药品生产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第四十一条　从事药品生产活动，应当经所在地省、自治区、直辖市人民政府药品监督管理部门批准，取得药品生产许可证。无药品生产许可证的，不得生产药品。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药品生产许可证应当标明有效期和生产范围，到期重新审查发证。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第四十二条　从事药品生产活动，应当具备以下条件：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（一）有依法经过资格认定的药学技术人员、工程技术人员及相应的技术工人；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（二）有与药品生产相适应的厂房、设施和卫生环境；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（三）有能对所生产药品进行质量管理和质量检验的机构、人员及必要的仪器设备；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（四）有保证药品质量的规章制度，并符合国务院药品监督管理部门依据本法制定的药品生产质量管理规范要求。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第四十三条　从事药品生产活动，应当遵守药品生产质量管理规范，建立健全药品生产质量管理体系，保证药品生产全过程持续符合法定要求。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药品生产企业的法定代表人、主要负责人对本企业的药品生产活动全面负责。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第四十四条　药品应当按照国家药品标准和经药品监督管理部门核准的生产工艺进行生产。生产、检验记录应当完整准确，不得编造。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第四十五条　生产药品所需的原料、辅料，应当符合药用要求、药品生产质量管理规范的有关要求。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生产药品，应当按照规定对供应原料、辅料等的供应商进行审核，保证购进、使用的原料、辅料等符合前款规定要求。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第四十六条　直接接触药品的包装材料和容器，应当符合药用要求，符合保障人体健康、安全的标准。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对不合格的直接接触药品的包装材料和容器，由药品监督管理部门责令停止使用。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第四十七条　药品生产企业应当对药品进行质量检验。不符合国家药品标准的，不得出厂。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药品生产企业应当建立药品出厂放行规程，明确出厂放行的标准、条件。符合标准、条件的，经质量受权人签字后方可放行。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第四十八条　药品包装应当适合药品质量的要求，方便储存、运输和医疗使用。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发运中药材应当有包装。在每件包装上，应当注明品名、产地、日期、供货单位，并附有质量合格的标志。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第四十九条　药品包装应当按照规定印有或者贴有标签并附有说明书。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麻醉药品、精神药品、医疗用毒性药品、放射性药品、外用药品和非处方药的标签、说明书，应当印有规定的标志。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第五十条　药品上市许可持有人、药品生产企业、药品经营企业和医疗机构中直接接触药品的工作人员，应当每年进行健康检查。患有传染病或者其他可能污染药品的疾病的，不得从事直接接触药品的工作。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第五章　药品经营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药品经营许可证应当标明有效期和经营范围，到期重新审查发证。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药品监督管理部门实施药品经营许可，除依据本法第五十二条规定的条件外，还应当遵循方便群众购药的原则。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第五十二条　从事药品经营活动应当具备以下条件：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（一）有依法经过资格认定的药师或者其他药学技术人员；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（二）有与所经营药品相适应的营业场所、设备、仓储设施和卫生环境；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（三）有与所经营药品相适应的质量管理机构或者人员；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（四）有保证药品质量的规章制度，并符合国务院药品监督管理部门依据本法制定的药品经营质量管理规范要求。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第五十三条　从事药品经营活动，应当遵守药品经营质量管理规范，建立健全药品经营质量管理体系，保证药品经营全过程持续符合法定要求。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国家鼓励、引导药品零售连锁经营。从事药品零售连锁经营活动的企业总部，应当建立统一的质量管理制度，对所属零售企业的经营活动履行管理责任。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药品经营企业的法定代表人、主要负责人对本企业的药品经营活动全面负责。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第五十四条　国家对药品实行处方药与非处方药分类管理制度。具体办法由国务院药品监督管理部门会同国务院卫生健康主管部门制定。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第五十五条　药品上市许可持有人、药品生产企业、药品经营企业和医疗机构应当从药品上市许可持有人或者具有药品生产、经营资格的企业购进药品；但是，购进未实施审批管理的中药材除外。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第五十六条　药品经营企业购进药品，应当建立并执行进货检查验收制度，验明药品合格证明和其他标识；不符合规定要求的，不得购进和销售。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药品经营企业销售中药材，应当标明产地。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依法经过资格认定的药师或者其他药学技术人员负责本企业的药品管理、处方审核和调配、合理用药指导等工作。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第五十九条　药品经营企业应当制定和执行药品保管制度，采取必要的冷藏、防冻、防潮、防虫、防鼠等措施，保证药品质量。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药品入库和出库应当执行检查制度。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第六十条　城乡集市贸易市场可以出售中药材，国务院另有规定的除外。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第六十一条　药品上市许可持有人、药品经营企业通过网络销售药品，应当遵守本法药品经营的有关规定。具体管理办法由国务院药品监督管理部门会同国务院卫生健康主管部门等部门制定。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疫苗、血液制品、麻醉药品、精神药品、医疗用毒性药品、放射性药品、药品类易制毒化学品等国家实行特殊管理的药品不得在网络上销售。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第六十二条　药品网络交易第三方平台提供者应当按照国务院药品监督管理部门的规定，向所在地省、自治区、直辖市人民政府药品监督管理部门备案。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第三方平台提供者应当依法对申请进入平台经营的药品上市许可持有人、药品经营企业的资质等进行审核，保证其符合法定要求，并对发生在平台的药品经营行为进行管理。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第六十三条　新发现和从境外引种的药材，经国务院药品监督管理部门批准后，方可销售。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第六十四条　药品应当从允许药品进口的口岸进口，并由进口药品的企业向口岸所在地药品监督管理部门备案。海关凭药品监督管理部门出具的进口药品通关单办理通关手续。无进口药品通关单的，海关不得放行。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口岸所在地药品监督管理部门应当通知药品检验机构按照国务院药品监督管理部门的规定对进口药品进行抽查检验。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允许药品进口的口岸由国务院药品监督管理部门会同海关总署提出，报国务院批准。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第六十五条　医疗机构因临床急需进口少量药品的，经国务院药品监督管理部门或者国务院授权的省、自治区、直辖市人民政府批准，可以进口。进口的药品应当在指定医疗机构内用于特定医疗目的。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个人自用携带入境少量药品，按照国家有关规定办理。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第六十六条　进口、出口麻醉药品和国家规定范围内的精神药品，应当持有国务院药品监督管理部门颁发的进口准许证、出口准许证。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第六十七条　禁止进口疗效不确切、不良反应大或者因其他原因危害人体健康的药品。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第六十八条　国务院药品监督管理部门对下列药品在销售前或者进口时，应当指定药品检验机构进行检验；未经检验或者检验不合格的，不得销售或者进口：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（一）首次在中国境内销售的药品；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（二）国务院药品监督管理部门规定的生物制品；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（三）国务院规定的其他药品。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第六章　医疗机构药事管理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第六十九条　医疗机构应当配备依法经过资格认定的药师或者其他药学技术人员，负责本单位的药品管理、处方审核和调配、合理用药指导等工作。非药学技术人员不得直接从事药剂技术工作。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第七十条　医疗机构购进药品，应当建立并执行进货检查验收制度，验明药品合格证明和其他标识；不符合规定要求的，不得购进和使用。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第七十一条　医疗机构应当有与所使用药品相适应的场所、设备、仓储设施和卫生环境，制定和执行药品保管制度，采取必要的冷藏、防冻、防潮、防虫、防鼠等措施，保证药品质量。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第七十二条　医疗机构应当坚持安全有效、经济合理的用药原则，遵循药品临床应用指导原则、临床诊疗指南和药品说明书等合理用药，对医师处方、用药医嘱的适宜性进行审核。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医疗机构以外的其他药品使用单位，应当遵守本法有关医疗机构使用药品的规定。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第七十四条　医疗机构配制制剂，应当经所在地省、自治区、直辖市人民政府药品监督管理部门批准，取得医疗机构制剂许可证。无医疗机构制剂许可证的，不得配制制剂。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医疗机构制剂许可证应当标明有效期，到期重新审查发证。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第七十五条　医疗机构配制制剂，应当有能够保证制剂质量的设施、管理制度、检验仪器和卫生环境。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医疗机构配制制剂，应当按照经核准的工艺进行，所需的原料、辅料和包装材料等应当符合药用要求。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第七十六条　医疗机构配制的制剂，应当是本单位临床需要而市场上没有供应的品种，并应当经所在地省、自治区、直辖市人民政府药品监督管理部门批准；但是，法律对配制中药制剂另有规定的除外。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医疗机构配制的制剂不得在市场上销售。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第七章　药品上市后管理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第七十七条　药品上市许可持有人应当制定药品上市后风险管理计划，主动开展药品上市后研究，对药品的安全性、有效性和质量可控性进行进一步确证，加强对已上市药品的持续管理。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药品上市许可持有人应当按照国务院药品监督管理部门的规定，全面评估、验证变更事项对药品安全性、有效性和质量可控性的影响。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第八十条　药品上市许可持有人应当开展药品上市后不良反应监测，主动收集、跟踪分析疑似药品不良反应信息，对已识别风险的药品及时采取风险控制措施。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药品上市许可持有人依法应当召回药品而未召回的，省、自治区、直辖市人民政府药品监督管理部门应当责令其召回。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经评价，对疗效不确切、不良反应大或者因其他原因危害人体健康的药品，应当注销药品注册证书。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已被注销药品注册证书的药品，不得生产或者进口、销售和使用。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已被注销药品注册证书、超过有效期等的药品，应当由药品监督管理部门监督销毁或者依法采取其他无害化处理等措施。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第八章　药品价格和广告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第八十四条　国家完善药品采购管理制度，对药品价格进行监测，开展成本价格调查，加强药品价格监督检查，依法查处价格垄断、哄抬价格等药品价格违法行为，维护药品价格秩序。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第八十五条　依法实行市场调节价的药品，药品上市许可持有人、药品生产企业、药品经营企业和医疗机构应当按照公平、合理和诚实信用、质价相符的原则制定价格，为用药者提供价格合理的药品。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药品上市许可持有人、药品生产企业、药品经营企业和医疗机构应当遵守国务院药品价格主管部门关于药品价格管理的规定，制定和标明药品零售价格，禁止暴利、价格垄断和价格欺诈等行为。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第八十六条　药品上市许可持有人、药品生产企业、药品经营企业和医疗机构应当依法向药品价格主管部门提供其药品的实际购销价格和购销数量等资料。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第八十七条　医疗机构应当向患者提供所用药品的价格清单，按照规定如实公布其常用药品的价格，加强合理用药管理。具体办法由国务院卫生健康主管部门制定。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第八十八条　禁止药品上市许可持有人、药品生产企业、药品经营企业和医疗机构在药品购销中给予、收受回扣或者其他不正当利益。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第八十九条　药品广告应当经广告主所在地省、自治区、直辖市人民政府确定的广告审查机关批准；未经批准的，不得发布。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第九十条　药品广告的内容应当真实、合法，以国务院药品监督管理部门核准的药品说明书为准，不得含有虚假的内容。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药品广告不得含有表示功效、安全性的断言或者保证；不得利用国家机关、科研单位、学术机构、行业协会或者专家、学者、医师、药师、患者等的名义或者形象作推荐、证明。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非药品广告不得有涉及药品的宣传。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第九十一条　药品价格和广告，本法未作规定的，适用《中华人民共和国价格法》、《中华人民共和国反垄断法》、《中华人民共和国反不正当竞争法》、《中华人民共和国广告法》等的规定。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第九章　药品储备和供应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第九十二条　国家实行药品储备制度，建立中央和地方两级药品储备。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发生重大灾情、疫情或者其他突发事件时，依照《中华人民共和国突发事件应对法》的规定，可以紧急调用药品。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第九十三条　国家实行基本药物制度，遴选适当数量的基本药物品种，加强组织生产和储备，提高基本药物的供给能力，满足疾病防治基本用药需求。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第九十四条　国家建立药品供求监测体系，及时收集和汇总分析短缺药品供求信息，对短缺药品实行预警，采取应对措施。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第九十五条　国家实行短缺药品清单管理制度。具体办法由国务院卫生健康主管部门会同国务院药品监督管理部门等部门制定。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药品上市许可持有人停止生产短缺药品的，应当按照规定向国务院药品监督管理部门或者省、自治区、直辖市人民政府药品监督管理部门报告。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第九十六条　国家鼓励短缺药品的研制和生产，对临床急需的短缺药品、防治重大传染病和罕见病等疾病的新药予以优先审评审批。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第九十七条　对短缺药品，国务院可以限制或者禁止出口。必要时，国务院有关部门可以采取组织生产、价格干预和扩大进口等措施，保障药品供应。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药品上市许可持有人、药品生产企业、药品经营企业应当按照规定保障药品的生产和供应。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第十章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第九十八条　禁止生产（包括配制，下同）、销售、使用假药、劣药。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有下列情形之一的，为假药：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（一）药品所含成份与国家药品标准规定的成份不符；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（二）以非药品冒充药品或者以他种药品冒充此种药品；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（三）变质的药品；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（四）药品所标明的适应症或者功能主治超出规定范围。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有下列情形之一的，为劣药：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（一）药品成份的含量不符合国家药品标准；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（二）被污染的药品；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（三）未标明或者更改有效期的药品；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（四）未注明或者更改产品批号的药品；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（五）超过有效期的药品；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（六）擅自添加防腐剂、辅料的药品；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（七）其他不符合药品标准的药品。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禁止未取得药品批准证明文件生产、进口药品；禁止使用未按照规定审评、审批的原料药、包装材料和容器生产药品。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药品监督管理部门应当对高风险的药品实施重点监督检查。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对有证据证明可能存在安全隐患的，药品监督管理部门根据监督检查情况，应当采取告诫、约谈、限期整改以及暂停生产、销售、使用、进口等措施，并及时公布检查处理结果。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药品监督管理部门进行监督检查时，应当出示证明文件，对监督检查中知悉的商业秘密应当保密。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第一百条　药品监督管理部门根据监督管理的需要，可以对药品质量进行抽查检验。抽查检验应当按照规定抽样，并不得收取任何费用；抽样应当购买样品。所需费用按照国务院规定列支。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对有证据证明可能危害人体健康的药品及其有关材料，药品监督管理部门可以查封、扣押，并在七日内作出行政处理决定；药品需要检验的，应当自检验报告书发出之日起十五日内作出行政处理决定。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第一百零一条　国务院和省、自治区、直辖市人民政府的药品监督管理部门应当定期公告药品质量抽查检验结果；公告不当的，应当在原公告范围内予以更正。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第一百零四条　国家建立职业化、专业化药品检查员队伍。检查员应当熟悉药品法律法规，具备药品专业知识。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第一百零六条　药品监督管理部门应当公布本部门的电子邮件地址、电话，接受咨询、投诉、举报，并依法及时答复、核实、处理。对查证属实的举报，按照有关规定给予举报人奖励。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药品监督管理部门应当对举报人的信息予以保密，保护举报人的合法权益。举报人举报所在单位的，该单位不得以解除、变更劳动合同或者其他方式对举报人进行打击报复。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公布药品安全信息，应当及时、准确、全面，并进行必要的说明，避免误导。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任何单位和个人不得编造、散布虚假药品安全信息。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第一百零八条　县级以上人民政府应当制定药品安全事件应急预案。药品上市许可持有人、药品生产企业、药品经营企业和医疗机构等应当制定本单位的药品安全事件处置方案，并组织开展培训和应急演练。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发生药品安全事件，县级以上人民政府应当按照应急预案立即组织开展应对工作；有关单位应当立即采取有效措施进行处置，防止危害扩大。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第一百零九条　药品监督管理部门未及时发现药品安全系统性风险，未及时消除监督管理区域内药品安全隐患的，本级人民政府或者上级人民政府药品监督管理部门应当对其主要负责人进行约谈。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地方人民政府未履行药品安全职责，未及时消除区域性重大药品安全隐患的，上级人民政府或者上级人民政府药品监督管理部门应当对其主要负责人进行约谈。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被约谈的部门和地方人民政府应当立即采取措施，对药品监督管理工作进行整改。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约谈情况和整改情况应当纳入有关部门和地方人民政府药品监督管理工作评议、考核记录。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第一百一十条　地方人民政府及其药品监督管理部门不得以要求实施药品检验、审批等手段限制或者排斥非本地区药品上市许可持有人、药品生产企业生产的药品进入本地区。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第一百一十一条　药品监督管理部门及其设置或者指定的药品专业技术机构不得参与药品生产经营活动，不得以其名义推荐或者监制、监销药品。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药品监督管理部门及其设置或者指定的药品专业技术机构的工作人员不得参与药品生产经营活动。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第一百一十二条　国务院对麻醉药品、精神药品、医疗用毒性药品、放射性药品、药品类易制毒化学品等有其他特殊管理规定的，依照其规定。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第一百一十三条　药品监督管理部门发现药品违法行为涉嫌犯罪的，应当及时将案件移送公安机关。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对依法不需要追究刑事责任或者免予刑事处罚，但应当追究行政责任的，公安机关、人民检察院、人民法院应当及时将案件移送药品监督管理部门。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公安机关、人民检察院、人民法院商请药品监督管理部门、生态环境主管部门等部门提供检验结论、认定意见以及对涉案药品进行无害化处理等协助的，有关部门应当及时提供，予以协助。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第十一章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第一百一十四条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生产、销售的中药饮片不符合药品标准，尚不影响安全性、有效性的，责令限期改正，给予警告；可以处十万元以上五十万元以下的罚款。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对生产者专门用于生产假药、劣药的原料、辅料、包装材料、生产设备予以没收。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第一百二十一条　对假药、劣药的处罚决定，应当依法载明药品检验机构的质量检验结论。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（一）未取得药品批准证明文件生产、进口药品；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（二）使用采取欺骗手段取得的药品批准证明文件生产、进口药品；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（三）使用未经审评审批的原料药生产药品；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（四）应当检验而未经检验即销售药品；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（五）生产、销售国务院药品监督管理部门禁止使用的药品；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（六）编造生产、检验记录；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（七）未经批准在药品生产过程中进行重大变更。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未经批准进口少量境外已合法上市的药品，情节较轻的，可以依法减轻或者免予处罚。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（一）未经批准开展药物临床试验；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（二）使用未经审评的直接接触药品的包装材料或者容器生产药品，或者销售该类药品；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（三）使用未经核准的标签、说明书。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第一百二十七条　违反本法规定，有下列行为之一的，责令限期改正，给予警告；逾期不改正的，处十万元以上五十万元以下的罚款：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（一）开展生物等效性试验未备案；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（二）药物临床试验期间，发现存在安全性问题或者其他风险，临床试验申办者未及时调整临床试验方案、暂停或者终止临床试验，或者未向国务院药品监督管理部门报告；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（三）未按照规定建立并实施药品追溯制度；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（四）未按照规定提交年度报告；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（五）未按照规定对药品生产过程中的变更进行备案或者报告；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（六）未制定药品上市后风险管理计划；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（七）未按照规定开展药品上市后研究或者上市后评价。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第一百三十条　违反本法规定，药品经营企业购销药品未按照规定进行记录，零售药品未正确说明用法、用量等事项，或者未按照规定调配处方的，责令改正，给予警告；情节严重的，吊销药品经营许可证。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第一百三十二条　进口已获得药品注册证书的药品，未按照规定向允许药品进口的口岸所在地药品监督管理部门备案的，责令限期改正，给予警告；逾期不改正的，吊销药品注册证书。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第一百三十四条　药品上市许可持有人未按照规定开展药品不良反应监测或者报告疑似药品不良反应的，责令限期改正，给予警告；逾期不改正的，责令停产停业整顿，并处十万元以上一百万元以下的罚款。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药品经营企业未按照规定报告疑似药品不良反应的，责令限期改正，给予警告；逾期不改正的，责令停产停业整顿，并处五万元以上五十万元以下的罚款。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医疗机构未按照规定报告疑似药品不良反应的，责令限期改正，给予警告；逾期不改正的，处五万元以上五十万元以下的罚款。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第一百三十六条　药品上市许可持有人为境外企业的，其指定的在中国境内的企业法人未依照本法规定履行相关义务的，适用本法有关药品上市许可持有人法律责任的规定。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第一百三十七条　有下列行为之一的，在本法规定的处罚幅度内从重处罚：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（一）以麻醉药品、精神药品、医疗用毒性药品、放射性药品、药品类易制毒化学品冒充其他药品，或者以其他药品冒充上述药品；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（二）生产、销售以孕产妇、儿童为主要使用对象的假药、劣药；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（三）生产、销售的生物制品属于假药、劣药；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（四）生产、销售假药、劣药，造成人身伤害后果；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（五）生产、销售假药、劣药，经处理后再犯；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（六）拒绝、逃避监督检查，伪造、销毁、隐匿有关证据材料，或者擅自动用查封、扣押物品。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第一百三十九条　本法第一百一十五条至第一百三十八条规定的行政处罚，由县级以上人民政府药品监督管理部门按照职责分工决定；撤销许可、吊销许可证件的，由原批准、发证的部门决定。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第一百四十条　药品上市许可持有人、药品生产企业、药品经营企业或者医疗机构违反本法规定聘用人员的，由药品监督管理部门或者卫生健康主管部门责令解聘，处五万元以上二十万元以下的罚款。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药品上市许可持有人、药品生产企业、药品经营企业在药品研制、生产、经营中向国家工作人员行贿的，对法定代表人、主要负责人、直接负责的主管人员和其他责任人员终身禁止从事药品生产经营活动。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第一百四十三条　违反本法规定，编造、散布虚假药品安全信息，构成违反治安管理行为的，由公安机关依法给予治安管理处罚。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第一百四十四条　药品上市许可持有人、药品生产企业、药品经营企业或者医疗机构违反本法规定，给用药者造成损害的，依法承担赔偿责任。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生产假药、劣药或者明知是假药、劣药仍然销售、使用的，受害人或者其近亲属除请求赔偿损失外，还可以请求支付价款十倍或者损失三倍的赔偿金；增加赔偿的金额不足一千元的，为一千元。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第一百四十五条　药品监督管理部门或者其设置、指定的药品专业技术机构参与药品生产经营活动的，由其上级主管机关责令改正，没收违法收入；情节严重的，对直接负责的主管人员和其他直接责任人员依法给予处分。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药品监督管理部门或者其设置、指定的药品专业技术机构的工作人员参与药品生产经营活动的，依法给予处分。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第一百四十七条　违反本法规定，药品监督管理部门有下列行为之一的，应当撤销相关许可，对直接负责的主管人员和其他直接责任人员依法给予处分：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（一）不符合条件而批准进行药物临床试验；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（二）对不符合条件的药品颁发药品注册证书；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（三）对不符合条件的单位颁发药品生产许可证、药品经营许可证或者医疗机构制剂许可证。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第一百四十八条　违反本法规定，县级以上地方人民政府有下列行为之一的，对直接负责的主管人员和其他直接责任人员给予记过或者记大过处分；情节严重的，给予降级、撤职或者开除处分：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（一）瞒报、谎报、缓报、漏报药品安全事件；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（二）未及时消除区域性重大药品安全隐患，造成本行政区域内发生特别重大药品安全事件，或者连续发生重大药品安全事件；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（三）履行职责不力，造成严重不良影响或者重大损失。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第一百四十九条　违反本法规定，药品监督管理等部门有下列行为之一的，对直接负责的主管人员和其他直接责任人员给予记过或者记大过处分；情节较重的，给予降级或者撤职处分；情节严重的，给予开除处分：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（一）瞒报、谎报、缓报、漏报药品安全事件；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（二）对发现的药品安全违法行为未及时查处；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（三）未及时发现药品安全系统性风险，或者未及时消除监督管理区域内药品安全隐患，造成严重影响；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（四）其他不履行药品监督管理职责，造成严重不良影响或者重大损失。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第一百五十条　药品监督管理人员滥用职权、徇私舞弊、玩忽职守的，依法给予处分。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查处假药、劣药违法行为有失职、渎职行为的，对药品监督管理部门直接负责的主管人员和其他直接责任人员依法从重给予处分。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第一百五十一条　本章规定的货值金额以违法生产、销售药品的标价计算；没有标价的，按照同类药品的市场价格计算。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第一百五十二条　中药材种植、采集和饲养的管理，依照有关法律、法规的规定执行。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第一百五十三条　地区性民间习用药材的管理办法，由国务院药品监督管理部门会同国务院中医药主管部门制定。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第一百五十四条　中国人民解放军和中国人民武装警察部队执行本法的具体办法，由国务院、中央军事委员会依据本法制定。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第一百五十五条　本法自2019年12月1日起施行。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6D007B"/>
    <w:rsid w:val="6CF7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2020-04-14T08:14:00Z</dcterms:created>
  <dc:creator>Administrator</dc:creator>
  <cp:lastModifiedBy>tang</cp:lastModifiedBy>
  <dcterms:modified xsi:type="dcterms:W3CDTF">2022-08-02T03:34:35Z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74D5094B876845C191C3BCAB3B3A0DE8</vt:lpwstr>
  </property>
</Properties>
</file>