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设备名称：高清摄像系统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2116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1套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一、三晶片高清摄像机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1、传感器：3组1/3英寸高亮度逐行扫描CMOS传感器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2、有效像素：≥1920（水平）×1080（垂直）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3、扫描标准：1125线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4、视频输出清晰度：≥1080P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5、支持U盘存储1080P录像和图片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6、网络直播功能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7、支持IPAD实时观看视频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8、图像冻结（FREEZE）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9、≥2.5倍电子放大（ZOOM）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10、图像翻转和镜像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11、附带≥7寸屏显示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12、摄像头具有白平衡、放大、亮度调节四种遥控控制功能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13、摄像头IPX8防水等级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14、输出比例：16:9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15、医用摄像系统分辨率：≥114LP/mm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b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二、LED冷光源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1、照度≥1000000Lux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2、色温5600K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3、LED发光模组寿命≥40000H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4、具有触摸屏控制按钮，亮度可调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5、具有亮度记忆，及归零功能（处于待机状态）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三、高清监视器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1、尺寸：≥26寸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2、分辨率：≥1920×1080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3、对比度：1400：1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四、台车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1、铝合金材质、五层自由装卸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五、图文工作站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1、CPU：i5-4590(3.3G四核)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2、显卡：1G独显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3、内存：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≥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4G DDRIII 1333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4、硬盘：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≥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2TB(SATA)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5、显示器：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≥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寸LCD （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≥</w:t>
      </w: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1920×1080）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6、采集卡：1080P全高清视频采集卡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 xml:space="preserve">7、打印机：A4彩色喷墨打印机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8、全高清（1080P）数字化图像采集，支持录像和回放；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9、可采集超过200万幅高清静态图片或连续录像200小时以上；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10、视频输入端口：DVI或HDMI；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11、一个脚踏开关即可控制动态和静态图像采集；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12、支持Apple iPad连接，可通过iPad操作工作站和查询病历；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13、支持局域网视频直播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六、鼻窦镜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1、0度  4mm×175mm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七、耳镜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4"/>
          <w:szCs w:val="24"/>
          <w:highlight w:val="none"/>
        </w:rPr>
        <w:t>1、0度  2.7mm×110mm</w:t>
      </w:r>
    </w:p>
    <w:p>
      <w:pPr>
        <w:jc w:val="both"/>
        <w:rPr>
          <w:b/>
          <w:sz w:val="36"/>
          <w:szCs w:val="36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高清耳鼻喉内镜摄像系统配置清单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至少包括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医用内窥镜摄像系统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医用内窥镜冷光源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  <w:lang w:val="en-US" w:eastAsia="zh-CN"/>
              </w:rPr>
              <w:t>≥</w:t>
            </w:r>
            <w:r>
              <w:rPr>
                <w:rFonts w:hint="eastAsia"/>
                <w:bCs/>
                <w:sz w:val="28"/>
                <w:szCs w:val="28"/>
                <w:highlight w:val="none"/>
              </w:rPr>
              <w:t>26寸监视器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医用台车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内镜医学影像图文信息管理系统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鼻窦镜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耳镜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jc w:val="left"/>
              <w:rPr>
                <w:rFonts w:hint="eastAsia"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1支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b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7E60B27"/>
    <w:rsid w:val="07F14F50"/>
    <w:rsid w:val="0E463ABF"/>
    <w:rsid w:val="12E82E96"/>
    <w:rsid w:val="2A8C0727"/>
    <w:rsid w:val="2E2319FE"/>
    <w:rsid w:val="41A64D43"/>
    <w:rsid w:val="47D5554B"/>
    <w:rsid w:val="73A1489D"/>
    <w:rsid w:val="75B01B84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860</Characters>
  <Lines>18</Lines>
  <Paragraphs>5</Paragraphs>
  <TotalTime>1</TotalTime>
  <ScaleCrop>false</ScaleCrop>
  <LinksUpToDate>false</LinksUpToDate>
  <CharactersWithSpaces>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2022-10-17T08:27:10Z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690A5EBA0EB241A99E1DE54414D2742D</vt:lpwstr>
  </property>
</Properties>
</file>