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auto"/>
          <w:sz w:val="32"/>
          <w:szCs w:val="32"/>
          <w:lang w:eastAsia="zh-CN"/>
        </w:rPr>
      </w:pPr>
      <w:r>
        <w:rPr>
          <w:rFonts w:hint="eastAsia" w:ascii="宋体" w:hAnsi="宋体"/>
          <w:b/>
          <w:color w:val="auto"/>
          <w:sz w:val="32"/>
          <w:szCs w:val="32"/>
        </w:rPr>
        <w:t>评</w:t>
      </w:r>
      <w:r>
        <w:rPr>
          <w:rFonts w:hint="eastAsia" w:ascii="宋体" w:hAnsi="宋体"/>
          <w:b/>
          <w:color w:val="auto"/>
          <w:sz w:val="32"/>
          <w:szCs w:val="32"/>
          <w:lang w:eastAsia="zh-CN"/>
        </w:rPr>
        <w:t>分标准</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评审依据：磋商小组将以磋商响应文件为评审依据，对供应商的报价、技术、商务等方面内容按百分制打分。（计分方法按四舍五入取至百分位）</w:t>
      </w:r>
      <w:bookmarkStart w:id="0" w:name="_GoBack"/>
      <w:bookmarkEnd w:id="0"/>
    </w:p>
    <w:tbl>
      <w:tblPr>
        <w:tblStyle w:val="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29"/>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序号</w:t>
            </w:r>
          </w:p>
        </w:tc>
        <w:tc>
          <w:tcPr>
            <w:tcW w:w="1280" w:type="dxa"/>
            <w:noWrap w:val="0"/>
            <w:vAlign w:val="center"/>
          </w:tcPr>
          <w:p>
            <w:pPr>
              <w:adjustRightInd w:val="0"/>
              <w:spacing w:line="276" w:lineRule="auto"/>
              <w:jc w:val="center"/>
              <w:textAlignment w:val="baseline"/>
              <w:rPr>
                <w:rFonts w:hint="eastAsia" w:ascii="宋体" w:hAnsi="宋体"/>
                <w:color w:val="auto"/>
                <w:szCs w:val="21"/>
                <w:highlight w:val="none"/>
              </w:rPr>
            </w:pPr>
            <w:r>
              <w:rPr>
                <w:rFonts w:hint="eastAsia" w:ascii="宋体" w:hAnsi="宋体"/>
                <w:b/>
                <w:color w:val="auto"/>
                <w:szCs w:val="21"/>
                <w:highlight w:val="none"/>
              </w:rPr>
              <w:t>评审因素</w:t>
            </w:r>
          </w:p>
        </w:tc>
        <w:tc>
          <w:tcPr>
            <w:tcW w:w="709" w:type="dxa"/>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分值</w:t>
            </w:r>
          </w:p>
        </w:tc>
        <w:tc>
          <w:tcPr>
            <w:tcW w:w="6909" w:type="dxa"/>
            <w:gridSpan w:val="2"/>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1</w:t>
            </w:r>
          </w:p>
        </w:tc>
        <w:tc>
          <w:tcPr>
            <w:tcW w:w="1280" w:type="dxa"/>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报价</w:t>
            </w:r>
          </w:p>
        </w:tc>
        <w:tc>
          <w:tcPr>
            <w:tcW w:w="709" w:type="dxa"/>
            <w:noWrap w:val="0"/>
            <w:vAlign w:val="center"/>
          </w:tcPr>
          <w:p>
            <w:pPr>
              <w:adjustRightInd w:val="0"/>
              <w:spacing w:line="276" w:lineRule="auto"/>
              <w:jc w:val="center"/>
              <w:textAlignment w:val="baseline"/>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0分</w:t>
            </w:r>
          </w:p>
        </w:tc>
        <w:tc>
          <w:tcPr>
            <w:tcW w:w="6909" w:type="dxa"/>
            <w:gridSpan w:val="2"/>
            <w:noWrap w:val="0"/>
            <w:vAlign w:val="center"/>
          </w:tcPr>
          <w:p>
            <w:pPr>
              <w:pStyle w:val="6"/>
              <w:spacing w:line="276" w:lineRule="auto"/>
              <w:outlineLvl w:val="0"/>
              <w:rPr>
                <w:rFonts w:hint="eastAsia" w:hAnsi="宋体"/>
                <w:b/>
                <w:color w:val="auto"/>
                <w:sz w:val="21"/>
                <w:highlight w:val="none"/>
              </w:rPr>
            </w:pPr>
            <w:r>
              <w:rPr>
                <w:rFonts w:hint="eastAsia" w:hAnsi="宋体"/>
                <w:b/>
                <w:color w:val="auto"/>
                <w:sz w:val="21"/>
                <w:highlight w:val="none"/>
              </w:rPr>
              <w:t>一、报价分（满分</w:t>
            </w:r>
            <w:r>
              <w:rPr>
                <w:rFonts w:hAnsi="宋体"/>
                <w:b/>
                <w:color w:val="auto"/>
                <w:sz w:val="21"/>
                <w:highlight w:val="none"/>
              </w:rPr>
              <w:t>1</w:t>
            </w:r>
            <w:r>
              <w:rPr>
                <w:rFonts w:hint="eastAsia" w:hAnsi="宋体"/>
                <w:b/>
                <w:color w:val="auto"/>
                <w:sz w:val="21"/>
                <w:highlight w:val="none"/>
              </w:rPr>
              <w:t>0分）</w:t>
            </w:r>
          </w:p>
          <w:p>
            <w:pPr>
              <w:pStyle w:val="6"/>
              <w:spacing w:line="276" w:lineRule="auto"/>
              <w:ind w:firstLine="420" w:firstLineChars="200"/>
              <w:rPr>
                <w:rFonts w:hint="eastAsia"/>
                <w:color w:val="auto"/>
                <w:sz w:val="21"/>
                <w:highlight w:val="none"/>
              </w:rPr>
            </w:pPr>
            <w:r>
              <w:rPr>
                <w:rFonts w:hint="eastAsia"/>
                <w:color w:val="auto"/>
                <w:sz w:val="21"/>
                <w:highlight w:val="none"/>
              </w:rPr>
              <w:t>1、报价分采用低价优先法计算，满足磋商文件要求且最后报价最低的有效供应商的最后报价为评标基准价，其报价分为满分。</w:t>
            </w:r>
          </w:p>
          <w:p>
            <w:pPr>
              <w:pStyle w:val="6"/>
              <w:spacing w:line="276" w:lineRule="auto"/>
              <w:ind w:firstLine="420" w:firstLineChars="200"/>
              <w:rPr>
                <w:rFonts w:hint="eastAsia"/>
                <w:color w:val="auto"/>
                <w:sz w:val="21"/>
                <w:highlight w:val="none"/>
              </w:rPr>
            </w:pPr>
            <w:r>
              <w:rPr>
                <w:rFonts w:hint="eastAsia"/>
                <w:color w:val="auto"/>
                <w:sz w:val="21"/>
                <w:highlight w:val="none"/>
              </w:rPr>
              <w:t>2、其他供应商的价格分统一按照下列公式计算：</w:t>
            </w:r>
          </w:p>
          <w:p>
            <w:pPr>
              <w:pStyle w:val="6"/>
              <w:spacing w:line="276" w:lineRule="auto"/>
              <w:rPr>
                <w:rFonts w:hint="eastAsia" w:hAnsi="宋体" w:cs="Courier New"/>
                <w:bCs/>
                <w:color w:val="auto"/>
                <w:kern w:val="2"/>
                <w:sz w:val="21"/>
                <w:highlight w:val="none"/>
              </w:rPr>
            </w:pPr>
            <w:r>
              <w:rPr>
                <w:rFonts w:hint="eastAsia"/>
                <w:color w:val="auto"/>
                <w:sz w:val="21"/>
                <w:highlight w:val="none"/>
              </w:rPr>
              <w:t>某有效供应商的报价分=（评标基准价／某有效供应商最后报价）</w:t>
            </w:r>
            <w:r>
              <w:rPr>
                <w:rFonts w:hAnsi="宋体"/>
                <w:bCs/>
                <w:color w:val="auto"/>
                <w:sz w:val="21"/>
                <w:highlight w:val="none"/>
              </w:rPr>
              <w:t>×</w:t>
            </w:r>
            <w:r>
              <w:rPr>
                <w:rFonts w:hint="eastAsia" w:hAnsi="宋体"/>
                <w:bCs/>
                <w:color w:val="auto"/>
                <w:sz w:val="21"/>
                <w:highlight w:val="none"/>
              </w:rPr>
              <w:t xml:space="preserve"> </w:t>
            </w:r>
            <w:r>
              <w:rPr>
                <w:rFonts w:hAnsi="宋体"/>
                <w:bCs/>
                <w:color w:val="auto"/>
                <w:sz w:val="21"/>
                <w:highlight w:val="none"/>
              </w:rPr>
              <w:t>1</w:t>
            </w:r>
            <w:r>
              <w:rPr>
                <w:rFonts w:hint="eastAsia" w:hAnsi="宋体"/>
                <w:bCs/>
                <w:color w:val="auto"/>
                <w:sz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2</w:t>
            </w:r>
          </w:p>
        </w:tc>
        <w:tc>
          <w:tcPr>
            <w:tcW w:w="1280"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服务水平</w:t>
            </w:r>
          </w:p>
        </w:tc>
        <w:tc>
          <w:tcPr>
            <w:tcW w:w="709"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lang w:val="en-US" w:eastAsia="zh-CN"/>
              </w:rPr>
              <w:t>63</w:t>
            </w:r>
            <w:r>
              <w:rPr>
                <w:rFonts w:hint="eastAsia" w:ascii="宋体" w:hAnsi="宋体"/>
                <w:b/>
                <w:color w:val="auto"/>
                <w:szCs w:val="21"/>
                <w:highlight w:val="none"/>
              </w:rPr>
              <w:t>分</w:t>
            </w:r>
          </w:p>
        </w:tc>
        <w:tc>
          <w:tcPr>
            <w:tcW w:w="1529" w:type="dxa"/>
            <w:noWrap w:val="0"/>
            <w:vAlign w:val="center"/>
          </w:tcPr>
          <w:p>
            <w:pPr>
              <w:spacing w:line="276" w:lineRule="auto"/>
              <w:jc w:val="center"/>
              <w:rPr>
                <w:rFonts w:hint="eastAsia" w:ascii="宋体" w:hAnsi="宋体"/>
                <w:bCs/>
                <w:color w:val="auto"/>
                <w:szCs w:val="21"/>
                <w:highlight w:val="none"/>
              </w:rPr>
            </w:pPr>
            <w:r>
              <w:rPr>
                <w:rFonts w:hint="eastAsia" w:ascii="宋体" w:hAnsi="宋体" w:cs="宋体"/>
                <w:b/>
                <w:bCs/>
                <w:color w:val="auto"/>
                <w:sz w:val="21"/>
                <w:szCs w:val="21"/>
                <w:highlight w:val="none"/>
                <w:lang w:eastAsia="zh-CN"/>
              </w:rPr>
              <w:t>相应</w:t>
            </w:r>
            <w:r>
              <w:rPr>
                <w:rFonts w:hint="eastAsia" w:ascii="宋体" w:hAnsi="宋体" w:eastAsia="宋体" w:cs="宋体"/>
                <w:b/>
                <w:bCs/>
                <w:color w:val="auto"/>
                <w:sz w:val="21"/>
                <w:szCs w:val="21"/>
                <w:highlight w:val="none"/>
              </w:rPr>
              <w:t>的软件著作权证书</w:t>
            </w:r>
            <w:r>
              <w:rPr>
                <w:rFonts w:hint="eastAsia" w:hAnsi="宋体"/>
                <w:b/>
                <w:bCs/>
                <w:color w:val="auto"/>
                <w:highlight w:val="none"/>
              </w:rPr>
              <w:t>（满分</w:t>
            </w:r>
            <w:r>
              <w:rPr>
                <w:rFonts w:hint="eastAsia" w:hAnsi="宋体"/>
                <w:b/>
                <w:bCs/>
                <w:color w:val="auto"/>
                <w:highlight w:val="none"/>
                <w:lang w:val="en-US" w:eastAsia="zh-CN"/>
              </w:rPr>
              <w:t>10</w:t>
            </w:r>
            <w:r>
              <w:rPr>
                <w:rFonts w:hint="eastAsia" w:hAnsi="宋体"/>
                <w:b/>
                <w:bCs/>
                <w:color w:val="auto"/>
                <w:highlight w:val="none"/>
              </w:rPr>
              <w:t>分）</w:t>
            </w:r>
          </w:p>
        </w:tc>
        <w:tc>
          <w:tcPr>
            <w:tcW w:w="5380" w:type="dxa"/>
            <w:noWrap w:val="0"/>
            <w:vAlign w:val="center"/>
          </w:tcPr>
          <w:p>
            <w:pPr>
              <w:pStyle w:val="11"/>
              <w:spacing w:line="240" w:lineRule="auto"/>
              <w:ind w:left="0" w:leftChars="0" w:firstLine="0" w:firstLineChars="0"/>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投标人（或授权</w:t>
            </w:r>
            <w:r>
              <w:rPr>
                <w:rFonts w:hint="eastAsia" w:cs="宋体"/>
                <w:color w:val="auto"/>
                <w:sz w:val="21"/>
                <w:szCs w:val="21"/>
                <w:highlight w:val="none"/>
                <w:lang w:val="en-US" w:eastAsia="zh-CN"/>
              </w:rPr>
              <w:t>代理</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的投标产品</w:t>
            </w:r>
            <w:r>
              <w:rPr>
                <w:rFonts w:hint="eastAsia" w:ascii="宋体" w:hAnsi="宋体" w:eastAsia="宋体" w:cs="宋体"/>
                <w:color w:val="auto"/>
                <w:sz w:val="21"/>
                <w:szCs w:val="21"/>
                <w:highlight w:val="none"/>
              </w:rPr>
              <w:t>拥有通过国家知识产权局认证的软件著作权证书</w:t>
            </w:r>
            <w:r>
              <w:rPr>
                <w:rFonts w:hint="eastAsia" w:cs="宋体"/>
                <w:color w:val="auto"/>
                <w:sz w:val="21"/>
                <w:szCs w:val="21"/>
                <w:highlight w:val="none"/>
                <w:lang w:eastAsia="zh-CN"/>
              </w:rPr>
              <w:t>，</w:t>
            </w:r>
            <w:r>
              <w:rPr>
                <w:rFonts w:hint="eastAsia" w:cs="宋体"/>
                <w:color w:val="auto"/>
                <w:sz w:val="21"/>
                <w:szCs w:val="21"/>
                <w:highlight w:val="none"/>
                <w:lang w:val="en-US" w:eastAsia="zh-CN"/>
              </w:rPr>
              <w:t>且投标人提供的软件著作权证书与软件需求参数匹配，包含智慧食堂管理系统、餐饮管理软件、智慧食堂后台管理软件、人脸采集系统软件、WEB端管理软件、智慧食堂超市收银系统软件、食品安全管理追溯软件等计算机软件著作权登记证书系统；</w:t>
            </w:r>
          </w:p>
          <w:p>
            <w:pPr>
              <w:pStyle w:val="11"/>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资质完全</w:t>
            </w:r>
            <w:r>
              <w:rPr>
                <w:rFonts w:hint="eastAsia" w:ascii="宋体" w:hAnsi="宋体" w:cs="宋体"/>
                <w:color w:val="auto"/>
                <w:sz w:val="21"/>
                <w:szCs w:val="21"/>
                <w:highlight w:val="none"/>
                <w:lang w:eastAsia="zh-CN"/>
              </w:rPr>
              <w:t>符合要求</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lang w:eastAsia="zh-CN"/>
              </w:rPr>
              <w:t>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p>
            <w:pPr>
              <w:pStyle w:val="11"/>
              <w:spacing w:line="24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每提供一项符合要求的得</w:t>
            </w:r>
            <w:r>
              <w:rPr>
                <w:rFonts w:hint="eastAsia" w:ascii="宋体" w:hAnsi="宋体" w:cs="宋体"/>
                <w:color w:val="auto"/>
                <w:sz w:val="21"/>
                <w:szCs w:val="21"/>
                <w:highlight w:val="none"/>
                <w:lang w:val="en-US" w:eastAsia="zh-CN"/>
              </w:rPr>
              <w:t>2分</w:t>
            </w:r>
            <w:r>
              <w:rPr>
                <w:rFonts w:hint="eastAsia" w:cs="宋体"/>
                <w:color w:val="auto"/>
                <w:sz w:val="21"/>
                <w:szCs w:val="21"/>
                <w:highlight w:val="none"/>
                <w:lang w:val="en-US" w:eastAsia="zh-CN"/>
              </w:rPr>
              <w:t>；</w:t>
            </w:r>
          </w:p>
          <w:p>
            <w:pPr>
              <w:spacing w:line="276" w:lineRule="auto"/>
              <w:jc w:val="left"/>
              <w:rPr>
                <w:rFonts w:hint="eastAsia" w:ascii="宋体" w:hAnsi="宋体"/>
                <w:bCs/>
                <w:color w:val="auto"/>
                <w:szCs w:val="21"/>
                <w:highlight w:val="none"/>
              </w:rPr>
            </w:pPr>
            <w:r>
              <w:rPr>
                <w:rFonts w:hint="eastAsia" w:ascii="宋体" w:hAnsi="宋体" w:eastAsia="宋体" w:cs="宋体"/>
                <w:color w:val="auto"/>
                <w:kern w:val="2"/>
                <w:sz w:val="21"/>
                <w:szCs w:val="21"/>
                <w:highlight w:val="none"/>
                <w:lang w:val="en-US" w:eastAsia="zh-CN" w:bidi="ar-SA"/>
              </w:rPr>
              <w:t>不提供或资质完全不符不得分。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ascii="宋体" w:hAnsi="宋体"/>
                <w:b/>
                <w:color w:val="auto"/>
                <w:szCs w:val="21"/>
                <w:highlight w:val="none"/>
              </w:rPr>
            </w:pPr>
          </w:p>
        </w:tc>
        <w:tc>
          <w:tcPr>
            <w:tcW w:w="1529" w:type="dxa"/>
            <w:noWrap w:val="0"/>
            <w:vAlign w:val="center"/>
          </w:tcPr>
          <w:p>
            <w:pPr>
              <w:spacing w:line="276" w:lineRule="auto"/>
              <w:jc w:val="center"/>
              <w:rPr>
                <w:rFonts w:hint="eastAsia" w:hAnsi="宋体"/>
                <w:b/>
                <w:color w:val="auto"/>
                <w:highlight w:val="none"/>
              </w:rPr>
            </w:pPr>
            <w:r>
              <w:rPr>
                <w:rFonts w:hint="eastAsia" w:ascii="宋体" w:hAnsi="宋体" w:eastAsia="宋体" w:cs="宋体"/>
                <w:b/>
                <w:bCs/>
                <w:color w:val="auto"/>
                <w:sz w:val="21"/>
                <w:szCs w:val="21"/>
                <w:highlight w:val="none"/>
              </w:rPr>
              <w:t>专利证书</w:t>
            </w:r>
            <w:r>
              <w:rPr>
                <w:rFonts w:hint="eastAsia" w:ascii="宋体" w:hAnsi="宋体" w:eastAsia="宋体" w:cs="宋体"/>
                <w:b/>
                <w:bCs/>
                <w:color w:val="auto"/>
                <w:sz w:val="21"/>
                <w:szCs w:val="21"/>
                <w:highlight w:val="none"/>
                <w:lang w:eastAsia="zh-CN"/>
              </w:rPr>
              <w:t>（</w:t>
            </w:r>
            <w:r>
              <w:rPr>
                <w:rFonts w:hint="eastAsia" w:hAnsi="宋体"/>
                <w:b/>
                <w:bCs/>
                <w:color w:val="auto"/>
                <w:highlight w:val="none"/>
              </w:rPr>
              <w:t>满分</w:t>
            </w:r>
            <w:r>
              <w:rPr>
                <w:rFonts w:hint="eastAsia" w:hAnsi="宋体"/>
                <w:b/>
                <w:bCs/>
                <w:color w:val="auto"/>
                <w:highlight w:val="none"/>
                <w:lang w:val="en-US" w:eastAsia="zh-CN"/>
              </w:rPr>
              <w:t>5</w:t>
            </w:r>
            <w:r>
              <w:rPr>
                <w:rFonts w:hint="eastAsia" w:hAnsi="宋体"/>
                <w:b/>
                <w:bCs/>
                <w:color w:val="auto"/>
                <w:highlight w:val="none"/>
              </w:rPr>
              <w:t>分</w:t>
            </w:r>
            <w:r>
              <w:rPr>
                <w:rFonts w:hint="eastAsia" w:ascii="宋体" w:hAnsi="宋体" w:eastAsia="宋体" w:cs="宋体"/>
                <w:b/>
                <w:bCs/>
                <w:color w:val="auto"/>
                <w:sz w:val="21"/>
                <w:szCs w:val="21"/>
                <w:highlight w:val="none"/>
                <w:lang w:eastAsia="zh-CN"/>
              </w:rPr>
              <w:t>）</w:t>
            </w:r>
          </w:p>
        </w:tc>
        <w:tc>
          <w:tcPr>
            <w:tcW w:w="5380" w:type="dxa"/>
            <w:noWrap w:val="0"/>
            <w:vAlign w:val="center"/>
          </w:tcPr>
          <w:p>
            <w:pPr>
              <w:pStyle w:val="1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cs="宋体"/>
                <w:color w:val="auto"/>
                <w:sz w:val="21"/>
                <w:szCs w:val="21"/>
                <w:highlight w:val="none"/>
                <w:lang w:eastAsia="zh-CN"/>
              </w:rPr>
              <w:t>（</w:t>
            </w:r>
            <w:r>
              <w:rPr>
                <w:rFonts w:hint="eastAsia" w:cs="宋体"/>
                <w:color w:val="auto"/>
                <w:sz w:val="21"/>
                <w:szCs w:val="21"/>
                <w:highlight w:val="none"/>
                <w:lang w:val="en-US" w:eastAsia="zh-CN"/>
              </w:rPr>
              <w:t>或授权代理</w:t>
            </w:r>
            <w:r>
              <w:rPr>
                <w:rFonts w:hint="eastAsia" w:cs="宋体"/>
                <w:color w:val="auto"/>
                <w:sz w:val="21"/>
                <w:szCs w:val="21"/>
                <w:highlight w:val="none"/>
                <w:lang w:eastAsia="zh-CN"/>
              </w:rPr>
              <w:t>）</w:t>
            </w:r>
            <w:r>
              <w:rPr>
                <w:rFonts w:hint="eastAsia" w:cs="宋体"/>
                <w:color w:val="auto"/>
                <w:sz w:val="21"/>
                <w:szCs w:val="21"/>
                <w:highlight w:val="none"/>
                <w:lang w:val="en-US" w:eastAsia="zh-CN"/>
              </w:rPr>
              <w:t>的投标产品</w:t>
            </w:r>
            <w:r>
              <w:rPr>
                <w:rFonts w:hint="eastAsia" w:ascii="宋体" w:hAnsi="宋体" w:eastAsia="宋体" w:cs="宋体"/>
                <w:color w:val="auto"/>
                <w:sz w:val="21"/>
                <w:szCs w:val="21"/>
                <w:highlight w:val="none"/>
              </w:rPr>
              <w:t>拥有国家知识产权局颁发的专利证书，含食品安全、人脸识别</w:t>
            </w:r>
            <w:r>
              <w:rPr>
                <w:rFonts w:hint="eastAsia"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pStyle w:val="1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具备符合要求的且资质齐全</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276" w:lineRule="auto"/>
              <w:jc w:val="left"/>
              <w:rPr>
                <w:rFonts w:hint="eastAsia" w:ascii="宋体" w:hAnsi="宋体"/>
                <w:bCs/>
                <w:color w:val="auto"/>
                <w:szCs w:val="21"/>
                <w:highlight w:val="none"/>
              </w:rPr>
            </w:pPr>
            <w:r>
              <w:rPr>
                <w:rFonts w:hint="eastAsia" w:ascii="宋体" w:hAnsi="宋体" w:eastAsia="宋体" w:cs="宋体"/>
                <w:color w:val="auto"/>
                <w:sz w:val="21"/>
                <w:szCs w:val="21"/>
                <w:highlight w:val="none"/>
              </w:rPr>
              <w:t>不提供或</w:t>
            </w:r>
            <w:r>
              <w:rPr>
                <w:rFonts w:hint="eastAsia" w:ascii="宋体" w:hAnsi="宋体" w:cs="宋体"/>
                <w:color w:val="auto"/>
                <w:sz w:val="21"/>
                <w:szCs w:val="21"/>
                <w:highlight w:val="none"/>
                <w:lang w:eastAsia="zh-CN"/>
              </w:rPr>
              <w:t>资质</w:t>
            </w:r>
            <w:r>
              <w:rPr>
                <w:rFonts w:hint="eastAsia" w:ascii="宋体" w:hAnsi="宋体" w:eastAsia="宋体" w:cs="宋体"/>
                <w:color w:val="auto"/>
                <w:sz w:val="21"/>
                <w:szCs w:val="21"/>
                <w:highlight w:val="none"/>
              </w:rPr>
              <w:t>不符不得分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ascii="宋体" w:hAnsi="宋体"/>
                <w:b/>
                <w:color w:val="auto"/>
                <w:szCs w:val="21"/>
                <w:highlight w:val="none"/>
              </w:rPr>
            </w:pPr>
          </w:p>
        </w:tc>
        <w:tc>
          <w:tcPr>
            <w:tcW w:w="1529" w:type="dxa"/>
            <w:noWrap w:val="0"/>
            <w:vAlign w:val="center"/>
          </w:tcPr>
          <w:p>
            <w:pPr>
              <w:spacing w:line="276" w:lineRule="auto"/>
              <w:jc w:val="center"/>
              <w:rPr>
                <w:rFonts w:hint="eastAsia" w:hAnsi="宋体"/>
                <w:b/>
                <w:color w:val="auto"/>
                <w:highlight w:val="none"/>
              </w:rPr>
            </w:pPr>
            <w:r>
              <w:rPr>
                <w:rFonts w:hint="eastAsia" w:ascii="宋体" w:hAnsi="宋体" w:eastAsia="宋体" w:cs="宋体"/>
                <w:b/>
                <w:bCs/>
                <w:color w:val="auto"/>
                <w:sz w:val="21"/>
                <w:szCs w:val="21"/>
                <w:highlight w:val="none"/>
              </w:rPr>
              <w:t>软件产品登记测试报告</w:t>
            </w:r>
            <w:r>
              <w:rPr>
                <w:rFonts w:hint="eastAsia" w:ascii="宋体" w:hAnsi="宋体" w:eastAsia="宋体" w:cs="宋体"/>
                <w:b/>
                <w:bCs/>
                <w:color w:val="auto"/>
                <w:sz w:val="21"/>
                <w:szCs w:val="21"/>
                <w:highlight w:val="none"/>
                <w:lang w:eastAsia="zh-CN"/>
              </w:rPr>
              <w:t>（</w:t>
            </w:r>
            <w:r>
              <w:rPr>
                <w:rFonts w:hint="eastAsia" w:hAnsi="宋体"/>
                <w:b/>
                <w:bCs/>
                <w:color w:val="auto"/>
                <w:highlight w:val="none"/>
              </w:rPr>
              <w:t>满分</w:t>
            </w:r>
            <w:r>
              <w:rPr>
                <w:rFonts w:hint="eastAsia" w:hAnsi="宋体"/>
                <w:b/>
                <w:bCs/>
                <w:color w:val="auto"/>
                <w:highlight w:val="none"/>
                <w:lang w:val="en-US" w:eastAsia="zh-CN"/>
              </w:rPr>
              <w:t>5</w:t>
            </w:r>
            <w:r>
              <w:rPr>
                <w:rFonts w:hint="eastAsia" w:hAnsi="宋体"/>
                <w:b/>
                <w:bCs/>
                <w:color w:val="auto"/>
                <w:highlight w:val="none"/>
              </w:rPr>
              <w:t>分</w:t>
            </w:r>
            <w:r>
              <w:rPr>
                <w:rFonts w:hint="eastAsia" w:hAnsi="宋体"/>
                <w:b/>
                <w:bCs/>
                <w:color w:val="auto"/>
                <w:highlight w:val="none"/>
                <w:lang w:eastAsia="zh-CN"/>
              </w:rPr>
              <w:t>）</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投标人（或授权代理）的投标软件产品提供相关软件产品登记测试报告；</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具备符合要求的测试报告</w:t>
            </w:r>
            <w:r>
              <w:rPr>
                <w:rFonts w:hint="eastAsia" w:ascii="宋体" w:hAnsi="宋体"/>
                <w:bCs/>
                <w:color w:val="auto"/>
                <w:szCs w:val="21"/>
                <w:highlight w:val="none"/>
                <w:lang w:val="en-US" w:eastAsia="zh-CN"/>
              </w:rPr>
              <w:t>最高</w:t>
            </w:r>
            <w:r>
              <w:rPr>
                <w:rFonts w:hint="eastAsia" w:ascii="宋体" w:hAnsi="宋体"/>
                <w:bCs/>
                <w:color w:val="auto"/>
                <w:szCs w:val="21"/>
                <w:highlight w:val="none"/>
              </w:rPr>
              <w:t>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不提供或资质不符不得分。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ascii="宋体" w:hAnsi="宋体"/>
                <w:b/>
                <w:color w:val="auto"/>
                <w:szCs w:val="21"/>
                <w:highlight w:val="none"/>
              </w:rPr>
            </w:pPr>
          </w:p>
        </w:tc>
        <w:tc>
          <w:tcPr>
            <w:tcW w:w="1529" w:type="dxa"/>
            <w:noWrap w:val="0"/>
            <w:vAlign w:val="center"/>
          </w:tcPr>
          <w:p>
            <w:pPr>
              <w:spacing w:line="276" w:lineRule="auto"/>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设备稳定性</w:t>
            </w:r>
            <w:r>
              <w:rPr>
                <w:rFonts w:hint="eastAsia" w:ascii="宋体" w:hAnsi="宋体" w:eastAsia="宋体" w:cs="宋体"/>
                <w:b/>
                <w:bCs/>
                <w:color w:val="auto"/>
                <w:sz w:val="21"/>
                <w:szCs w:val="21"/>
                <w:highlight w:val="none"/>
                <w:lang w:eastAsia="zh-CN"/>
              </w:rPr>
              <w:t>（</w:t>
            </w:r>
            <w:r>
              <w:rPr>
                <w:rFonts w:hint="eastAsia" w:hAnsi="宋体"/>
                <w:b/>
                <w:bCs/>
                <w:color w:val="auto"/>
                <w:highlight w:val="none"/>
              </w:rPr>
              <w:t>满分</w:t>
            </w:r>
            <w:r>
              <w:rPr>
                <w:rFonts w:hint="eastAsia" w:hAnsi="宋体"/>
                <w:b/>
                <w:bCs/>
                <w:color w:val="auto"/>
                <w:highlight w:val="none"/>
                <w:lang w:val="en-US" w:eastAsia="zh-CN"/>
              </w:rPr>
              <w:t>5</w:t>
            </w:r>
            <w:r>
              <w:rPr>
                <w:rFonts w:hint="eastAsia" w:hAnsi="宋体"/>
                <w:b/>
                <w:bCs/>
                <w:color w:val="auto"/>
                <w:highlight w:val="none"/>
              </w:rPr>
              <w:t>分</w:t>
            </w:r>
            <w:r>
              <w:rPr>
                <w:rFonts w:hint="eastAsia" w:hAnsi="宋体"/>
                <w:b/>
                <w:bCs/>
                <w:color w:val="auto"/>
                <w:highlight w:val="none"/>
                <w:lang w:eastAsia="zh-CN"/>
              </w:rPr>
              <w:t>）</w:t>
            </w:r>
          </w:p>
        </w:tc>
        <w:tc>
          <w:tcPr>
            <w:tcW w:w="5380" w:type="dxa"/>
            <w:noWrap w:val="0"/>
            <w:vAlign w:val="center"/>
          </w:tcPr>
          <w:p>
            <w:pPr>
              <w:spacing w:line="276" w:lineRule="auto"/>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智能双屏人脸终端、超市收银终端、手持PAD、库管助手获得国家权威版权机构或检测机构认证证书的（需提供国家权威版权机构或检测机构认证证书复印件并加盖公章），得5分。不能提供的，得0分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529" w:type="dxa"/>
            <w:noWrap w:val="0"/>
            <w:vAlign w:val="center"/>
          </w:tcPr>
          <w:p>
            <w:pPr>
              <w:spacing w:line="276" w:lineRule="auto"/>
              <w:jc w:val="center"/>
              <w:rPr>
                <w:rFonts w:hint="eastAsia" w:ascii="宋体" w:hAnsi="宋体"/>
                <w:bCs/>
                <w:color w:val="auto"/>
                <w:szCs w:val="21"/>
                <w:highlight w:val="none"/>
              </w:rPr>
            </w:pPr>
            <w:r>
              <w:rPr>
                <w:rFonts w:hint="eastAsia" w:ascii="宋体" w:hAnsi="宋体" w:cs="Courier New"/>
                <w:b/>
                <w:bCs/>
                <w:color w:val="auto"/>
                <w:szCs w:val="21"/>
                <w:highlight w:val="none"/>
              </w:rPr>
              <w:t>质量保障措施（满分</w:t>
            </w:r>
            <w:r>
              <w:rPr>
                <w:rFonts w:hint="eastAsia" w:ascii="宋体" w:hAnsi="宋体" w:cs="Courier New"/>
                <w:b/>
                <w:bCs/>
                <w:color w:val="auto"/>
                <w:szCs w:val="21"/>
                <w:highlight w:val="none"/>
                <w:lang w:val="en-US" w:eastAsia="zh-CN"/>
              </w:rPr>
              <w:t>10</w:t>
            </w:r>
            <w:r>
              <w:rPr>
                <w:rFonts w:hint="eastAsia" w:ascii="宋体" w:hAnsi="宋体" w:cs="Courier New"/>
                <w:b/>
                <w:bCs/>
                <w:color w:val="auto"/>
                <w:szCs w:val="21"/>
                <w:highlight w:val="none"/>
              </w:rPr>
              <w:t>分）</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分）：措施内容不明确，保障方案不完整，架构设计单一，结构层次划分不清晰。</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7</w:t>
            </w:r>
            <w:r>
              <w:rPr>
                <w:rFonts w:hint="eastAsia" w:ascii="宋体" w:hAnsi="宋体"/>
                <w:bCs/>
                <w:color w:val="auto"/>
                <w:szCs w:val="21"/>
                <w:highlight w:val="none"/>
              </w:rPr>
              <w:t>分）：措施内容简单，保障方案完整、基本可行，架构设计基本颗星，结构层次划分不具体。</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三档（</w:t>
            </w:r>
            <w:r>
              <w:rPr>
                <w:rFonts w:ascii="宋体" w:hAnsi="宋体"/>
                <w:bCs/>
                <w:color w:val="auto"/>
                <w:szCs w:val="21"/>
                <w:highlight w:val="none"/>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分）：措施内容清晰准确，保障方案完整、具体、可行性高，架构设计科学合理，结构层次划分合理，技术路线可行，具有健全项目质量保证体系及可靠的项目质量保证措施。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529" w:type="dxa"/>
            <w:noWrap w:val="0"/>
            <w:vAlign w:val="center"/>
          </w:tcPr>
          <w:p>
            <w:pPr>
              <w:spacing w:line="276" w:lineRule="auto"/>
              <w:jc w:val="center"/>
              <w:rPr>
                <w:rFonts w:hint="eastAsia" w:ascii="宋体" w:hAnsi="宋体"/>
                <w:bCs/>
                <w:color w:val="auto"/>
                <w:szCs w:val="21"/>
                <w:highlight w:val="none"/>
              </w:rPr>
            </w:pPr>
            <w:r>
              <w:rPr>
                <w:rFonts w:hint="eastAsia" w:hAnsi="宋体"/>
                <w:b/>
                <w:color w:val="auto"/>
                <w:highlight w:val="none"/>
              </w:rPr>
              <w:t>对本项目理解及重点难点分析（满分</w:t>
            </w:r>
            <w:r>
              <w:rPr>
                <w:rFonts w:hint="eastAsia" w:hAnsi="宋体"/>
                <w:b/>
                <w:color w:val="auto"/>
                <w:highlight w:val="none"/>
                <w:lang w:val="en-US" w:eastAsia="zh-CN"/>
              </w:rPr>
              <w:t>18</w:t>
            </w:r>
            <w:r>
              <w:rPr>
                <w:rFonts w:hint="eastAsia" w:hAnsi="宋体"/>
                <w:b/>
                <w:color w:val="auto"/>
                <w:highlight w:val="none"/>
              </w:rPr>
              <w:t>分）</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6</w:t>
            </w:r>
            <w:r>
              <w:rPr>
                <w:rFonts w:hint="eastAsia" w:ascii="宋体" w:hAnsi="宋体"/>
                <w:bCs/>
                <w:color w:val="auto"/>
                <w:szCs w:val="21"/>
                <w:highlight w:val="none"/>
              </w:rPr>
              <w:t>分）：对本项目的认识、理解和总体把握是基本准确；对本项目的理解不到位、重难点分析不完整、不熟悉；对项目背景的认识、研究目标和意义等方面的认知与理解表述不到位。</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对本项目的认识、理解和总体把握是准确、到位，研究内容合理；对本项目有一定理解、重难点分析基本完整、比较熟悉本项目涉及的内容；对本项目背景的认识、研究目标和意义等方面的认知与理解表述较清楚、详细、完整。</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 w:val="24"/>
                <w:szCs w:val="24"/>
                <w:highlight w:val="none"/>
                <w:lang w:val="en-US" w:eastAsia="zh-CN"/>
              </w:rPr>
              <w:t>18</w:t>
            </w:r>
            <w:r>
              <w:rPr>
                <w:rFonts w:hint="eastAsia" w:ascii="宋体" w:hAnsi="宋体"/>
                <w:bCs/>
                <w:color w:val="auto"/>
                <w:szCs w:val="21"/>
                <w:highlight w:val="none"/>
              </w:rPr>
              <w:t>分）：对项目所在地市场的发展建设情况较为熟悉,并且对本项目的认识、理解和总体把握是准确、到位，研究内容与工作深度是很全面、十分合理、特别深入；对本项目理解透彻、重难点分析到位、熟悉本项目涉及的内容；对本项目背景的认识、研究目标和意义等方面的认知与理解分析透彻，表述十分清楚、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529" w:type="dxa"/>
            <w:noWrap w:val="0"/>
            <w:vAlign w:val="center"/>
          </w:tcPr>
          <w:p>
            <w:pPr>
              <w:spacing w:line="276" w:lineRule="auto"/>
              <w:jc w:val="center"/>
              <w:rPr>
                <w:rFonts w:hint="eastAsia" w:ascii="宋体" w:hAnsi="宋体"/>
                <w:bCs/>
                <w:color w:val="auto"/>
                <w:szCs w:val="21"/>
                <w:highlight w:val="none"/>
              </w:rPr>
            </w:pPr>
            <w:r>
              <w:rPr>
                <w:rFonts w:hint="eastAsia" w:ascii="宋体" w:hAnsi="宋体"/>
                <w:b/>
                <w:bCs/>
                <w:color w:val="auto"/>
                <w:szCs w:val="21"/>
                <w:highlight w:val="none"/>
              </w:rPr>
              <w:t>后续服务方案</w:t>
            </w:r>
            <w:r>
              <w:rPr>
                <w:rFonts w:hint="eastAsia" w:ascii="宋体" w:hAnsi="宋体" w:cs="Courier New"/>
                <w:b/>
                <w:bCs/>
                <w:color w:val="auto"/>
                <w:szCs w:val="21"/>
                <w:highlight w:val="none"/>
              </w:rPr>
              <w:t>（满分</w:t>
            </w:r>
            <w:r>
              <w:rPr>
                <w:rFonts w:hint="eastAsia" w:ascii="宋体" w:hAnsi="宋体" w:cs="Courier New"/>
                <w:b/>
                <w:bCs/>
                <w:color w:val="auto"/>
                <w:szCs w:val="21"/>
                <w:highlight w:val="none"/>
                <w:lang w:val="en-US" w:eastAsia="zh-CN"/>
              </w:rPr>
              <w:t>10</w:t>
            </w:r>
            <w:r>
              <w:rPr>
                <w:rFonts w:hint="eastAsia" w:ascii="宋体" w:hAnsi="宋体" w:cs="Courier New"/>
                <w:b/>
                <w:bCs/>
                <w:color w:val="auto"/>
                <w:szCs w:val="21"/>
                <w:highlight w:val="none"/>
              </w:rPr>
              <w:t>分）</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分）：对用户的现状及需求的理解基本满足采购文件要求，方案简单粗略，整体规划缺少针对性，缺少保证措施或保证措施不完善。</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7</w:t>
            </w:r>
            <w:r>
              <w:rPr>
                <w:rFonts w:hint="eastAsia" w:ascii="宋体" w:hAnsi="宋体"/>
                <w:bCs/>
                <w:color w:val="auto"/>
                <w:szCs w:val="21"/>
                <w:highlight w:val="none"/>
              </w:rPr>
              <w:t>分）：对用户的现状及需求的理解满足采购文件要求，方案具体，人员投入到位，保证措施完善，有实施进度计划，方案基本可行。</w:t>
            </w:r>
          </w:p>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三档（</w:t>
            </w:r>
            <w:r>
              <w:rPr>
                <w:rFonts w:ascii="宋体" w:hAnsi="宋体"/>
                <w:bCs/>
                <w:color w:val="auto"/>
                <w:szCs w:val="21"/>
                <w:highlight w:val="none"/>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分）：对用户的现状及需求的理解满足采购文件要求，且对用户的现状及需求了解透彻深入，方案详细具体可行，整体规划针对性强，项目组织和管理有序，人员和其他额外资源投入到位，并且有完善的支持体系作为保障，实施进度计划详细明确，项目实施风险控制方法完善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30"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3</w:t>
            </w:r>
          </w:p>
        </w:tc>
        <w:tc>
          <w:tcPr>
            <w:tcW w:w="1280"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履约能力</w:t>
            </w:r>
          </w:p>
        </w:tc>
        <w:tc>
          <w:tcPr>
            <w:tcW w:w="709" w:type="dxa"/>
            <w:vMerge w:val="restart"/>
            <w:noWrap w:val="0"/>
            <w:vAlign w:val="center"/>
          </w:tcPr>
          <w:p>
            <w:pPr>
              <w:adjustRightInd w:val="0"/>
              <w:spacing w:line="276" w:lineRule="auto"/>
              <w:jc w:val="center"/>
              <w:textAlignment w:val="baseline"/>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lang w:val="en-US" w:eastAsia="zh-CN"/>
              </w:rPr>
              <w:t>7</w:t>
            </w:r>
            <w:r>
              <w:rPr>
                <w:rFonts w:hint="eastAsia" w:ascii="宋体" w:hAnsi="宋体"/>
                <w:b/>
                <w:color w:val="auto"/>
                <w:szCs w:val="21"/>
                <w:highlight w:val="none"/>
              </w:rPr>
              <w:t>分</w:t>
            </w:r>
          </w:p>
        </w:tc>
        <w:tc>
          <w:tcPr>
            <w:tcW w:w="1529" w:type="dxa"/>
            <w:noWrap w:val="0"/>
            <w:vAlign w:val="center"/>
          </w:tcPr>
          <w:p>
            <w:pPr>
              <w:spacing w:line="276" w:lineRule="auto"/>
              <w:jc w:val="center"/>
              <w:rPr>
                <w:rFonts w:hint="eastAsia" w:hAnsi="宋体"/>
                <w:b/>
                <w:bCs/>
                <w:color w:val="auto"/>
                <w:highlight w:val="none"/>
              </w:rPr>
            </w:pPr>
            <w:r>
              <w:rPr>
                <w:rFonts w:hint="eastAsia" w:hAnsi="宋体"/>
                <w:b/>
                <w:bCs/>
                <w:color w:val="auto"/>
                <w:highlight w:val="none"/>
              </w:rPr>
              <w:t>信誉分（满分</w:t>
            </w:r>
            <w:r>
              <w:rPr>
                <w:rFonts w:hint="eastAsia" w:hAnsi="宋体"/>
                <w:b/>
                <w:bCs/>
                <w:color w:val="auto"/>
                <w:highlight w:val="none"/>
                <w:lang w:val="en-US" w:eastAsia="zh-CN"/>
              </w:rPr>
              <w:t>6</w:t>
            </w:r>
            <w:r>
              <w:rPr>
                <w:rFonts w:hint="eastAsia" w:hAnsi="宋体"/>
                <w:b/>
                <w:bCs/>
                <w:color w:val="auto"/>
                <w:highlight w:val="none"/>
              </w:rPr>
              <w:t>分）</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供应商具有IS09001质量管理体系认证、ISO14001环境管理体系认证、ISO27001信息安全体系认证的，每有一项得</w:t>
            </w:r>
            <w:r>
              <w:rPr>
                <w:rFonts w:hint="eastAsia" w:ascii="宋体" w:hAnsi="宋体"/>
                <w:bCs/>
                <w:color w:val="auto"/>
                <w:szCs w:val="21"/>
                <w:highlight w:val="none"/>
                <w:lang w:val="en-US" w:eastAsia="zh-CN"/>
              </w:rPr>
              <w:t>2</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6</w:t>
            </w:r>
            <w:r>
              <w:rPr>
                <w:rFonts w:hint="eastAsia" w:ascii="宋体" w:hAnsi="宋体"/>
                <w:bCs/>
                <w:color w:val="auto"/>
                <w:szCs w:val="21"/>
                <w:highlight w:val="none"/>
              </w:rPr>
              <w:t>分。（须在响应文件中提供相关有效证书复印件且证书在有效期内及国家认证认可监督管理委员会查询记录证明截图，并加盖单位盖章，否则不得分）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529" w:type="dxa"/>
            <w:noWrap w:val="0"/>
            <w:vAlign w:val="center"/>
          </w:tcPr>
          <w:p>
            <w:pPr>
              <w:spacing w:line="276" w:lineRule="auto"/>
              <w:jc w:val="center"/>
              <w:rPr>
                <w:rFonts w:hint="eastAsia" w:hAnsi="宋体"/>
                <w:b/>
                <w:bCs/>
                <w:color w:val="auto"/>
                <w:highlight w:val="none"/>
              </w:rPr>
            </w:pPr>
            <w:r>
              <w:rPr>
                <w:rFonts w:hint="eastAsia" w:hAnsi="宋体"/>
                <w:b/>
                <w:bCs/>
                <w:color w:val="auto"/>
                <w:highlight w:val="none"/>
              </w:rPr>
              <w:t>业绩分（满分</w:t>
            </w:r>
            <w:r>
              <w:rPr>
                <w:rFonts w:hint="eastAsia" w:hAnsi="宋体"/>
                <w:b/>
                <w:bCs/>
                <w:color w:val="auto"/>
                <w:highlight w:val="none"/>
                <w:lang w:val="en-US" w:eastAsia="zh-CN"/>
              </w:rPr>
              <w:t>12</w:t>
            </w:r>
            <w:r>
              <w:rPr>
                <w:rFonts w:hint="eastAsia" w:hAnsi="宋体"/>
                <w:b/>
                <w:bCs/>
                <w:color w:val="auto"/>
                <w:highlight w:val="none"/>
              </w:rPr>
              <w:t>分）</w:t>
            </w:r>
          </w:p>
        </w:tc>
        <w:tc>
          <w:tcPr>
            <w:tcW w:w="5380" w:type="dxa"/>
            <w:noWrap w:val="0"/>
            <w:vAlign w:val="center"/>
          </w:tcPr>
          <w:p>
            <w:pPr>
              <w:spacing w:line="276" w:lineRule="auto"/>
              <w:jc w:val="left"/>
              <w:rPr>
                <w:rFonts w:hint="eastAsia" w:ascii="宋体" w:hAnsi="宋体"/>
                <w:bCs/>
                <w:color w:val="auto"/>
                <w:szCs w:val="21"/>
                <w:highlight w:val="none"/>
              </w:rPr>
            </w:pPr>
            <w:r>
              <w:rPr>
                <w:rFonts w:hint="eastAsia" w:ascii="宋体" w:hAnsi="宋体"/>
                <w:bCs/>
                <w:color w:val="auto"/>
                <w:szCs w:val="21"/>
                <w:highlight w:val="none"/>
              </w:rPr>
              <w:t>供应商自2019年1月1日以来在国内每完成过一个同类项目</w:t>
            </w:r>
            <w:r>
              <w:rPr>
                <w:rFonts w:ascii="宋体" w:hAnsi="宋体"/>
                <w:bCs/>
                <w:color w:val="auto"/>
                <w:szCs w:val="21"/>
                <w:highlight w:val="none"/>
              </w:rPr>
              <w:t>业绩</w:t>
            </w:r>
            <w:r>
              <w:rPr>
                <w:rFonts w:hint="eastAsia" w:ascii="宋体" w:hAnsi="宋体"/>
                <w:bCs/>
                <w:color w:val="auto"/>
                <w:szCs w:val="21"/>
                <w:highlight w:val="none"/>
              </w:rPr>
              <w:t>的，</w:t>
            </w:r>
            <w:r>
              <w:rPr>
                <w:rFonts w:ascii="宋体" w:hAnsi="宋体"/>
                <w:bCs/>
                <w:color w:val="auto"/>
                <w:szCs w:val="21"/>
                <w:highlight w:val="none"/>
              </w:rPr>
              <w:t>每提供一个</w:t>
            </w:r>
            <w:r>
              <w:rPr>
                <w:rFonts w:hint="eastAsia" w:ascii="宋体" w:hAnsi="宋体"/>
                <w:bCs/>
                <w:color w:val="auto"/>
                <w:szCs w:val="21"/>
                <w:highlight w:val="none"/>
              </w:rPr>
              <w:t>得</w:t>
            </w:r>
            <w:r>
              <w:rPr>
                <w:rFonts w:hint="eastAsia" w:ascii="宋体" w:hAnsi="宋体"/>
                <w:bCs/>
                <w:color w:val="auto"/>
                <w:szCs w:val="21"/>
                <w:highlight w:val="none"/>
                <w:lang w:val="en-US" w:eastAsia="zh-CN"/>
              </w:rPr>
              <w:t>3</w:t>
            </w:r>
            <w:r>
              <w:rPr>
                <w:rFonts w:hint="eastAsia" w:ascii="宋体" w:hAnsi="宋体"/>
                <w:bCs/>
                <w:color w:val="auto"/>
                <w:szCs w:val="21"/>
                <w:highlight w:val="none"/>
              </w:rPr>
              <w:t>分，最高得</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分。（须在响应文件中提供证明材料复印件，并加盖单位盖章，否则不得分）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280"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709" w:type="dxa"/>
            <w:vMerge w:val="continue"/>
            <w:noWrap w:val="0"/>
            <w:vAlign w:val="center"/>
          </w:tcPr>
          <w:p>
            <w:pPr>
              <w:adjustRightInd w:val="0"/>
              <w:spacing w:line="276" w:lineRule="auto"/>
              <w:jc w:val="center"/>
              <w:textAlignment w:val="baseline"/>
              <w:rPr>
                <w:rFonts w:hint="eastAsia" w:ascii="宋体" w:hAnsi="宋体"/>
                <w:b/>
                <w:color w:val="auto"/>
                <w:szCs w:val="21"/>
                <w:highlight w:val="none"/>
              </w:rPr>
            </w:pPr>
          </w:p>
        </w:tc>
        <w:tc>
          <w:tcPr>
            <w:tcW w:w="1529" w:type="dxa"/>
            <w:noWrap w:val="0"/>
            <w:vAlign w:val="center"/>
          </w:tcPr>
          <w:p>
            <w:pPr>
              <w:spacing w:line="276" w:lineRule="auto"/>
              <w:jc w:val="center"/>
              <w:rPr>
                <w:rFonts w:hint="eastAsia" w:hAnsi="宋体"/>
                <w:b/>
                <w:color w:val="auto"/>
                <w:kern w:val="2"/>
                <w:sz w:val="21"/>
                <w:szCs w:val="24"/>
                <w:highlight w:val="none"/>
                <w:lang w:val="en-US" w:eastAsia="zh-CN" w:bidi="ar-SA"/>
              </w:rPr>
            </w:pPr>
            <w:r>
              <w:rPr>
                <w:rFonts w:hint="eastAsia" w:hAnsi="宋体"/>
                <w:b/>
                <w:color w:val="auto"/>
                <w:highlight w:val="none"/>
              </w:rPr>
              <w:t>项目团队能力分（满分</w:t>
            </w:r>
            <w:r>
              <w:rPr>
                <w:rFonts w:hint="eastAsia" w:hAnsi="宋体"/>
                <w:b/>
                <w:color w:val="auto"/>
                <w:highlight w:val="none"/>
                <w:lang w:val="en-US" w:eastAsia="zh-CN"/>
              </w:rPr>
              <w:t>9</w:t>
            </w:r>
            <w:r>
              <w:rPr>
                <w:rFonts w:hint="eastAsia" w:hAnsi="宋体"/>
                <w:b/>
                <w:color w:val="auto"/>
                <w:highlight w:val="none"/>
              </w:rPr>
              <w:t>分）</w:t>
            </w:r>
          </w:p>
        </w:tc>
        <w:tc>
          <w:tcPr>
            <w:tcW w:w="5380" w:type="dxa"/>
            <w:noWrap w:val="0"/>
            <w:vAlign w:val="center"/>
          </w:tcPr>
          <w:p>
            <w:pPr>
              <w:spacing w:line="276" w:lineRule="auto"/>
              <w:jc w:val="left"/>
              <w:rPr>
                <w:rFonts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3</w:t>
            </w:r>
            <w:r>
              <w:rPr>
                <w:rFonts w:hint="eastAsia" w:ascii="宋体" w:hAnsi="宋体"/>
                <w:bCs/>
                <w:color w:val="auto"/>
                <w:szCs w:val="21"/>
                <w:highlight w:val="none"/>
              </w:rPr>
              <w:t>分）：供应商提供针对本项目拟投入的项目实施人员＜</w:t>
            </w:r>
            <w:r>
              <w:rPr>
                <w:rFonts w:hint="eastAsia" w:ascii="宋体" w:hAnsi="宋体"/>
                <w:bCs/>
                <w:color w:val="auto"/>
                <w:szCs w:val="21"/>
                <w:highlight w:val="none"/>
                <w:lang w:val="en-US" w:eastAsia="zh-CN"/>
              </w:rPr>
              <w:t>3</w:t>
            </w:r>
            <w:r>
              <w:rPr>
                <w:rFonts w:hint="eastAsia" w:ascii="宋体" w:hAnsi="宋体"/>
                <w:bCs/>
                <w:color w:val="auto"/>
                <w:szCs w:val="21"/>
                <w:highlight w:val="none"/>
              </w:rPr>
              <w:t>人。</w:t>
            </w:r>
          </w:p>
          <w:p>
            <w:pPr>
              <w:spacing w:line="276" w:lineRule="auto"/>
              <w:jc w:val="left"/>
              <w:rPr>
                <w:rFonts w:hint="eastAsia" w:ascii="宋体" w:hAnsi="宋体"/>
                <w:bCs/>
                <w:color w:val="auto"/>
                <w:szCs w:val="21"/>
                <w:highlight w:val="none"/>
                <w:lang w:eastAsia="zh-CN"/>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6</w:t>
            </w:r>
            <w:r>
              <w:rPr>
                <w:rFonts w:hint="eastAsia" w:ascii="宋体" w:hAnsi="宋体"/>
                <w:bCs/>
                <w:color w:val="auto"/>
                <w:szCs w:val="21"/>
                <w:highlight w:val="none"/>
              </w:rPr>
              <w:t>分）：供应商提供针对本项目拟投入的项目实施人员在≥</w:t>
            </w:r>
            <w:r>
              <w:rPr>
                <w:rFonts w:hint="eastAsia" w:ascii="宋体" w:hAnsi="宋体"/>
                <w:bCs/>
                <w:color w:val="auto"/>
                <w:szCs w:val="21"/>
                <w:highlight w:val="none"/>
                <w:lang w:val="en-US" w:eastAsia="zh-CN"/>
              </w:rPr>
              <w:t>3</w:t>
            </w:r>
            <w:r>
              <w:rPr>
                <w:rFonts w:hint="eastAsia" w:ascii="宋体" w:hAnsi="宋体"/>
                <w:bCs/>
                <w:color w:val="auto"/>
                <w:szCs w:val="21"/>
                <w:highlight w:val="none"/>
              </w:rPr>
              <w:t>人</w:t>
            </w:r>
            <w:r>
              <w:rPr>
                <w:rFonts w:hint="eastAsia" w:ascii="宋体" w:hAnsi="宋体"/>
                <w:bCs/>
                <w:color w:val="auto"/>
                <w:szCs w:val="21"/>
                <w:highlight w:val="none"/>
                <w:lang w:val="en-US" w:eastAsia="zh-CN"/>
              </w:rPr>
              <w:t>，且信息化系统工程师1人</w:t>
            </w:r>
            <w:r>
              <w:rPr>
                <w:rFonts w:hint="eastAsia" w:ascii="宋体" w:hAnsi="宋体"/>
                <w:bCs/>
                <w:color w:val="auto"/>
                <w:szCs w:val="21"/>
                <w:highlight w:val="none"/>
                <w:lang w:eastAsia="zh-CN"/>
              </w:rPr>
              <w:t>。</w:t>
            </w:r>
          </w:p>
          <w:p>
            <w:pPr>
              <w:spacing w:line="276" w:lineRule="auto"/>
              <w:jc w:val="left"/>
              <w:rPr>
                <w:rFonts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9</w:t>
            </w:r>
            <w:r>
              <w:rPr>
                <w:rFonts w:hint="eastAsia" w:ascii="宋体" w:hAnsi="宋体"/>
                <w:bCs/>
                <w:color w:val="auto"/>
                <w:szCs w:val="21"/>
                <w:highlight w:val="none"/>
              </w:rPr>
              <w:t>分）：供应商提供针对本项目拟投入的项目实施人员≥</w:t>
            </w:r>
            <w:r>
              <w:rPr>
                <w:rFonts w:hint="eastAsia" w:ascii="宋体" w:hAnsi="宋体"/>
                <w:bCs/>
                <w:color w:val="auto"/>
                <w:szCs w:val="21"/>
                <w:highlight w:val="none"/>
                <w:lang w:val="en-US" w:eastAsia="zh-CN"/>
              </w:rPr>
              <w:t>5</w:t>
            </w:r>
            <w:r>
              <w:rPr>
                <w:rFonts w:hint="eastAsia" w:ascii="宋体" w:hAnsi="宋体"/>
                <w:bCs/>
                <w:color w:val="auto"/>
                <w:szCs w:val="21"/>
                <w:highlight w:val="none"/>
              </w:rPr>
              <w:t>人，且具有软件开发工程师</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高级</w:t>
            </w:r>
            <w:r>
              <w:rPr>
                <w:rFonts w:hint="eastAsia" w:ascii="宋体" w:hAnsi="宋体"/>
                <w:bCs/>
                <w:color w:val="auto"/>
                <w:szCs w:val="21"/>
                <w:highlight w:val="none"/>
                <w:lang w:eastAsia="zh-CN"/>
              </w:rPr>
              <w:t>）</w:t>
            </w:r>
            <w:r>
              <w:rPr>
                <w:rFonts w:hint="eastAsia" w:ascii="宋体" w:hAnsi="宋体"/>
                <w:bCs/>
                <w:color w:val="auto"/>
                <w:szCs w:val="21"/>
                <w:highlight w:val="none"/>
              </w:rPr>
              <w:t>或系统集成项目管理工程师（高级）或信息系统项目管理师（高级）或高级网络信息安全工程师≥</w:t>
            </w:r>
            <w:r>
              <w:rPr>
                <w:rFonts w:hint="eastAsia" w:ascii="宋体" w:hAnsi="宋体"/>
                <w:bCs/>
                <w:color w:val="auto"/>
                <w:szCs w:val="21"/>
                <w:highlight w:val="none"/>
                <w:lang w:val="en-US" w:eastAsia="zh-CN"/>
              </w:rPr>
              <w:t>1</w:t>
            </w:r>
            <w:r>
              <w:rPr>
                <w:rFonts w:hint="eastAsia" w:ascii="宋体" w:hAnsi="宋体"/>
                <w:bCs/>
                <w:color w:val="auto"/>
                <w:szCs w:val="21"/>
                <w:highlight w:val="none"/>
              </w:rPr>
              <w:t>人</w:t>
            </w:r>
            <w:r>
              <w:rPr>
                <w:rFonts w:hint="eastAsia" w:ascii="宋体" w:hAnsi="宋体"/>
                <w:bCs/>
                <w:color w:val="auto"/>
                <w:szCs w:val="21"/>
                <w:highlight w:val="none"/>
                <w:lang w:val="en-US" w:eastAsia="zh-CN"/>
              </w:rPr>
              <w:t>，信息化系统工程师</w:t>
            </w:r>
            <w:r>
              <w:rPr>
                <w:rFonts w:hint="eastAsia" w:ascii="宋体" w:hAnsi="宋体"/>
                <w:bCs/>
                <w:color w:val="auto"/>
                <w:szCs w:val="21"/>
                <w:highlight w:val="none"/>
              </w:rPr>
              <w:t>≥</w:t>
            </w:r>
            <w:r>
              <w:rPr>
                <w:rFonts w:hint="eastAsia" w:ascii="宋体" w:hAnsi="宋体"/>
                <w:bCs/>
                <w:color w:val="auto"/>
                <w:szCs w:val="21"/>
                <w:highlight w:val="none"/>
                <w:lang w:val="en-US" w:eastAsia="zh-CN"/>
              </w:rPr>
              <w:t>1人</w:t>
            </w:r>
            <w:r>
              <w:rPr>
                <w:rFonts w:hint="eastAsia" w:ascii="宋体" w:hAnsi="宋体"/>
                <w:bCs/>
                <w:color w:val="auto"/>
                <w:szCs w:val="21"/>
                <w:highlight w:val="none"/>
              </w:rPr>
              <w:t>。</w:t>
            </w:r>
          </w:p>
          <w:p>
            <w:pPr>
              <w:spacing w:line="276" w:lineRule="auto"/>
              <w:jc w:val="left"/>
              <w:rPr>
                <w:rFonts w:hint="eastAsia"/>
                <w:color w:val="auto"/>
                <w:kern w:val="2"/>
                <w:sz w:val="21"/>
                <w:szCs w:val="24"/>
                <w:highlight w:val="none"/>
                <w:lang w:val="en-US" w:eastAsia="zh-CN" w:bidi="ar-SA"/>
              </w:rPr>
            </w:pPr>
            <w:r>
              <w:rPr>
                <w:rFonts w:hint="eastAsia" w:ascii="宋体" w:hAnsi="宋体"/>
                <w:bCs/>
                <w:color w:val="auto"/>
                <w:szCs w:val="21"/>
                <w:highlight w:val="none"/>
              </w:rPr>
              <w:t>注</w:t>
            </w:r>
            <w:r>
              <w:rPr>
                <w:rFonts w:ascii="宋体" w:hAnsi="宋体"/>
                <w:bCs/>
                <w:color w:val="auto"/>
                <w:szCs w:val="21"/>
                <w:highlight w:val="none"/>
              </w:rPr>
              <w:t>：</w:t>
            </w:r>
            <w:r>
              <w:rPr>
                <w:rFonts w:hint="eastAsia" w:ascii="宋体" w:hAnsi="宋体"/>
                <w:bCs/>
                <w:color w:val="auto"/>
                <w:szCs w:val="21"/>
                <w:highlight w:val="none"/>
              </w:rPr>
              <w:t>须在响应文件中提供以上人员</w:t>
            </w:r>
            <w:r>
              <w:rPr>
                <w:rFonts w:ascii="宋体" w:hAnsi="宋体"/>
                <w:bCs/>
                <w:color w:val="auto"/>
                <w:szCs w:val="21"/>
                <w:highlight w:val="none"/>
              </w:rPr>
              <w:t>的</w:t>
            </w:r>
            <w:r>
              <w:rPr>
                <w:rFonts w:hint="eastAsia" w:ascii="宋体" w:hAnsi="宋体"/>
                <w:bCs/>
                <w:color w:val="auto"/>
                <w:szCs w:val="21"/>
                <w:highlight w:val="none"/>
              </w:rPr>
              <w:t>2022年3月至2022年8月内任意连续3个月的依法缴纳税收的凭据复印件，并加盖单位盖章，否则不得分。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5"/>
            <w:noWrap w:val="0"/>
            <w:vAlign w:val="center"/>
          </w:tcPr>
          <w:p>
            <w:pPr>
              <w:pStyle w:val="6"/>
              <w:spacing w:line="276" w:lineRule="auto"/>
              <w:rPr>
                <w:rFonts w:hint="eastAsia" w:hAnsi="宋体" w:cs="Courier New"/>
                <w:bCs/>
                <w:color w:val="auto"/>
                <w:kern w:val="2"/>
                <w:sz w:val="21"/>
                <w:highlight w:val="none"/>
              </w:rPr>
            </w:pPr>
            <w:r>
              <w:rPr>
                <w:rFonts w:hint="eastAsia" w:hAnsi="宋体" w:cs="Courier New"/>
                <w:b/>
                <w:bCs/>
                <w:color w:val="auto"/>
                <w:kern w:val="2"/>
                <w:sz w:val="21"/>
                <w:highlight w:val="none"/>
              </w:rPr>
              <w:t>总得分=1+2+3。</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DgwYTg3MWU2MDA4YjE4NGZlMTAxOTA5NDJlOGYifQ=="/>
  </w:docVars>
  <w:rsids>
    <w:rsidRoot w:val="3EB33C76"/>
    <w:rsid w:val="02DB7FD2"/>
    <w:rsid w:val="06EA5DCB"/>
    <w:rsid w:val="344F162E"/>
    <w:rsid w:val="3EB33C76"/>
    <w:rsid w:val="590B7B63"/>
    <w:rsid w:val="61E8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jc w:val="left"/>
    </w:pPr>
    <w:rPr>
      <w:rFonts w:ascii="Calibri" w:hAnsi="Calibri"/>
      <w:kern w:val="0"/>
      <w:sz w:val="22"/>
      <w:szCs w:val="22"/>
      <w:lang w:eastAsia="en-US"/>
    </w:rPr>
  </w:style>
  <w:style w:type="character" w:customStyle="1" w:styleId="13">
    <w:name w:val="font71"/>
    <w:basedOn w:val="9"/>
    <w:uiPriority w:val="0"/>
    <w:rPr>
      <w:rFonts w:hint="eastAsia" w:ascii="宋体" w:hAnsi="宋体" w:eastAsia="宋体" w:cs="宋体"/>
      <w:color w:val="000000"/>
      <w:sz w:val="20"/>
      <w:szCs w:val="20"/>
      <w:u w:val="none"/>
    </w:rPr>
  </w:style>
  <w:style w:type="character" w:customStyle="1" w:styleId="14">
    <w:name w:val="font61"/>
    <w:basedOn w:val="9"/>
    <w:uiPriority w:val="0"/>
    <w:rPr>
      <w:rFonts w:hint="eastAsia" w:ascii="宋体" w:hAnsi="宋体" w:eastAsia="宋体" w:cs="宋体"/>
      <w:color w:val="FF0000"/>
      <w:sz w:val="20"/>
      <w:szCs w:val="20"/>
      <w:u w:val="none"/>
    </w:rPr>
  </w:style>
  <w:style w:type="character" w:customStyle="1" w:styleId="15">
    <w:name w:val="font31"/>
    <w:basedOn w:val="9"/>
    <w:uiPriority w:val="0"/>
    <w:rPr>
      <w:rFonts w:hint="eastAsia" w:ascii="宋体" w:hAnsi="宋体" w:eastAsia="宋体" w:cs="宋体"/>
      <w:color w:val="000000"/>
      <w:sz w:val="24"/>
      <w:szCs w:val="24"/>
      <w:u w:val="none"/>
    </w:rPr>
  </w:style>
  <w:style w:type="character" w:customStyle="1" w:styleId="16">
    <w:name w:val="font81"/>
    <w:basedOn w:val="9"/>
    <w:qFormat/>
    <w:uiPriority w:val="0"/>
    <w:rPr>
      <w:rFonts w:hint="eastAsia" w:ascii="宋体" w:hAnsi="宋体" w:eastAsia="宋体" w:cs="宋体"/>
      <w:color w:val="000000"/>
      <w:sz w:val="20"/>
      <w:szCs w:val="20"/>
      <w:u w:val="none"/>
    </w:rPr>
  </w:style>
  <w:style w:type="character" w:customStyle="1" w:styleId="17">
    <w:name w:val="font4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2023-03-09T15:26:00Z</dcterms:created>
  <dc:creator>Mr.农啊</dc:creator>
  <cp:lastModifiedBy>张凯</cp:lastModifiedBy>
  <dcterms:modified xsi:type="dcterms:W3CDTF">2023-04-06T07:17:40Z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651782710A4E4ABC9C722CEA548C867A</vt:lpwstr>
  </property>
</Properties>
</file>