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cs="宋体"/>
          <w:b/>
          <w:bCs/>
          <w:szCs w:val="21"/>
        </w:rPr>
      </w:pPr>
      <w:bookmarkStart w:id="0" w:name="_Toc35393621"/>
      <w:bookmarkStart w:id="1" w:name="_Toc28359002"/>
      <w:bookmarkStart w:id="2" w:name="_Toc28359079"/>
      <w:bookmarkStart w:id="3" w:name="_Toc35393790"/>
      <w:bookmarkStart w:id="4" w:name="OLE_LINK3"/>
      <w:bookmarkStart w:id="5" w:name="OLE_LINK1"/>
      <w:bookmarkStart w:id="6" w:name="OLE_LINK2"/>
      <w:r>
        <w:rPr>
          <w:rFonts w:hint="eastAsia" w:ascii="宋体" w:hAnsi="宋体" w:cs="宋体"/>
          <w:b/>
          <w:bCs/>
          <w:szCs w:val="21"/>
        </w:rPr>
        <w:t>一、项目基本情况</w:t>
      </w:r>
      <w:bookmarkEnd w:id="0"/>
      <w:bookmarkEnd w:id="1"/>
      <w:bookmarkEnd w:id="2"/>
      <w:bookmarkEnd w:id="3"/>
      <w:r>
        <w:rPr>
          <w:rFonts w:hint="eastAsia" w:ascii="宋体" w:hAnsi="宋体" w:cs="宋体"/>
          <w:b/>
          <w:bCs/>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项目编号：</w:t>
      </w:r>
    </w:p>
    <w:p>
      <w:pPr>
        <w:spacing w:line="360" w:lineRule="auto"/>
        <w:ind w:firstLine="420" w:firstLineChars="200"/>
        <w:rPr>
          <w:rFonts w:hint="eastAsia" w:ascii="宋体" w:hAnsi="宋体" w:cs="宋体"/>
          <w:szCs w:val="21"/>
        </w:rPr>
      </w:pPr>
      <w:r>
        <w:rPr>
          <w:rFonts w:hint="eastAsia" w:ascii="宋体" w:hAnsi="宋体" w:cs="宋体"/>
          <w:szCs w:val="21"/>
        </w:rPr>
        <w:t>采购项目名称：广西壮族自治区南溪山医院食堂</w:t>
      </w:r>
      <w:r>
        <w:rPr>
          <w:rFonts w:hint="eastAsia" w:ascii="宋体" w:hAnsi="宋体" w:cs="宋体"/>
          <w:szCs w:val="21"/>
          <w:lang w:eastAsia="zh-CN"/>
        </w:rPr>
        <w:t>运营</w:t>
      </w:r>
      <w:r>
        <w:rPr>
          <w:rFonts w:hint="eastAsia" w:ascii="宋体" w:hAnsi="宋体" w:cs="宋体"/>
          <w:szCs w:val="21"/>
        </w:rPr>
        <w:t>服务采购</w:t>
      </w:r>
    </w:p>
    <w:p>
      <w:pPr>
        <w:spacing w:line="360" w:lineRule="auto"/>
        <w:ind w:firstLine="420" w:firstLineChars="200"/>
        <w:rPr>
          <w:rFonts w:hint="eastAsia" w:ascii="宋体" w:hAnsi="宋体" w:cs="宋体"/>
          <w:szCs w:val="21"/>
        </w:rPr>
      </w:pPr>
      <w:r>
        <w:rPr>
          <w:rFonts w:hint="eastAsia" w:ascii="宋体" w:hAnsi="宋体" w:cs="宋体"/>
          <w:szCs w:val="21"/>
        </w:rPr>
        <w:t>采购方式：□竞争性谈判 ☑竞争性磋商 □询价</w:t>
      </w:r>
    </w:p>
    <w:p>
      <w:pPr>
        <w:spacing w:line="360" w:lineRule="auto"/>
        <w:ind w:firstLine="420" w:firstLineChars="200"/>
        <w:rPr>
          <w:rFonts w:hint="eastAsia" w:ascii="宋体" w:hAnsi="宋体" w:cs="宋体"/>
        </w:rPr>
      </w:pPr>
      <w:r>
        <w:rPr>
          <w:rFonts w:hint="eastAsia" w:ascii="宋体" w:hAnsi="宋体" w:cs="宋体"/>
        </w:rPr>
        <w:t>预算金额：</w:t>
      </w:r>
      <w:r>
        <w:rPr>
          <w:rFonts w:hint="eastAsia" w:ascii="宋体" w:hAnsi="宋体" w:cs="宋体"/>
          <w:bCs/>
          <w:szCs w:val="21"/>
        </w:rPr>
        <w:t>无</w:t>
      </w:r>
    </w:p>
    <w:p>
      <w:pPr>
        <w:spacing w:line="360" w:lineRule="auto"/>
        <w:ind w:firstLine="420" w:firstLineChars="200"/>
        <w:rPr>
          <w:rFonts w:hint="eastAsia" w:ascii="宋体" w:hAnsi="宋体" w:cs="宋体"/>
        </w:rPr>
      </w:pPr>
      <w:r>
        <w:rPr>
          <w:rFonts w:hint="eastAsia" w:ascii="宋体" w:hAnsi="宋体" w:cs="宋体"/>
        </w:rPr>
        <w:t>采购需求：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785"/>
        <w:gridCol w:w="870"/>
        <w:gridCol w:w="735"/>
        <w:gridCol w:w="3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1"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序号</w:t>
            </w:r>
          </w:p>
        </w:tc>
        <w:tc>
          <w:tcPr>
            <w:tcW w:w="2785" w:type="dxa"/>
            <w:noWrap w:val="0"/>
            <w:vAlign w:val="center"/>
          </w:tcPr>
          <w:p>
            <w:pPr>
              <w:pStyle w:val="7"/>
              <w:spacing w:line="360" w:lineRule="auto"/>
              <w:jc w:val="center"/>
              <w:rPr>
                <w:rFonts w:hint="eastAsia" w:ascii="宋体" w:hAnsi="宋体" w:cs="宋体"/>
                <w:b/>
                <w:bCs/>
                <w:szCs w:val="21"/>
              </w:rPr>
            </w:pPr>
            <w:r>
              <w:rPr>
                <w:rFonts w:hint="eastAsia" w:ascii="宋体" w:hAnsi="宋体" w:cs="宋体"/>
                <w:b/>
                <w:bCs/>
                <w:kern w:val="0"/>
                <w:szCs w:val="21"/>
              </w:rPr>
              <w:t>项目名称</w:t>
            </w:r>
          </w:p>
        </w:tc>
        <w:tc>
          <w:tcPr>
            <w:tcW w:w="870" w:type="dxa"/>
            <w:noWrap w:val="0"/>
            <w:vAlign w:val="center"/>
          </w:tcPr>
          <w:p>
            <w:pPr>
              <w:pStyle w:val="7"/>
              <w:spacing w:line="360" w:lineRule="auto"/>
              <w:jc w:val="center"/>
              <w:rPr>
                <w:rFonts w:hint="eastAsia" w:ascii="宋体" w:hAnsi="宋体" w:cs="宋体"/>
                <w:b/>
                <w:bCs/>
                <w:szCs w:val="21"/>
              </w:rPr>
            </w:pPr>
            <w:r>
              <w:rPr>
                <w:rFonts w:hint="eastAsia" w:ascii="宋体" w:hAnsi="宋体" w:cs="宋体"/>
                <w:b/>
                <w:bCs/>
              </w:rPr>
              <w:t>数量</w:t>
            </w:r>
          </w:p>
        </w:tc>
        <w:tc>
          <w:tcPr>
            <w:tcW w:w="735" w:type="dxa"/>
            <w:noWrap w:val="0"/>
            <w:vAlign w:val="center"/>
          </w:tcPr>
          <w:p>
            <w:pPr>
              <w:pStyle w:val="7"/>
              <w:spacing w:line="360" w:lineRule="auto"/>
              <w:jc w:val="center"/>
              <w:rPr>
                <w:rFonts w:hint="eastAsia" w:ascii="宋体" w:hAnsi="宋体" w:cs="宋体"/>
                <w:b/>
                <w:bCs/>
                <w:szCs w:val="21"/>
              </w:rPr>
            </w:pPr>
            <w:r>
              <w:rPr>
                <w:rFonts w:hint="eastAsia" w:ascii="宋体" w:hAnsi="宋体" w:cs="宋体"/>
                <w:b/>
                <w:bCs/>
              </w:rPr>
              <w:t>单位</w:t>
            </w:r>
          </w:p>
        </w:tc>
        <w:tc>
          <w:tcPr>
            <w:tcW w:w="3948" w:type="dxa"/>
            <w:noWrap w:val="0"/>
            <w:vAlign w:val="center"/>
          </w:tcPr>
          <w:p>
            <w:pPr>
              <w:pStyle w:val="7"/>
              <w:spacing w:line="360" w:lineRule="auto"/>
              <w:jc w:val="center"/>
              <w:rPr>
                <w:rFonts w:hint="eastAsia" w:ascii="宋体" w:hAnsi="宋体" w:cs="宋体"/>
                <w:b/>
                <w:bCs/>
                <w:szCs w:val="21"/>
              </w:rPr>
            </w:pPr>
            <w:r>
              <w:rPr>
                <w:rFonts w:hint="eastAsia" w:ascii="宋体" w:hAnsi="宋体" w:cs="宋体"/>
                <w:b/>
                <w:bCs/>
              </w:rPr>
              <w:t>项目规格描述或项目基本情况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11" w:type="dxa"/>
            <w:noWrap w:val="0"/>
            <w:vAlign w:val="center"/>
          </w:tcPr>
          <w:p>
            <w:pPr>
              <w:widowControl/>
              <w:spacing w:line="360" w:lineRule="auto"/>
              <w:jc w:val="center"/>
              <w:rPr>
                <w:rFonts w:hint="eastAsia" w:ascii="宋体" w:hAnsi="宋体" w:cs="宋体"/>
              </w:rPr>
            </w:pPr>
            <w:r>
              <w:rPr>
                <w:rFonts w:hint="eastAsia" w:ascii="宋体" w:hAnsi="宋体" w:cs="宋体"/>
              </w:rPr>
              <w:t>1</w:t>
            </w:r>
          </w:p>
        </w:tc>
        <w:tc>
          <w:tcPr>
            <w:tcW w:w="2785" w:type="dxa"/>
            <w:noWrap w:val="0"/>
            <w:vAlign w:val="center"/>
          </w:tcPr>
          <w:p>
            <w:pPr>
              <w:spacing w:line="360" w:lineRule="auto"/>
              <w:rPr>
                <w:rFonts w:hint="eastAsia" w:ascii="宋体" w:hAnsi="宋体" w:cs="宋体"/>
              </w:rPr>
            </w:pPr>
            <w:r>
              <w:rPr>
                <w:rFonts w:hint="eastAsia" w:ascii="宋体" w:hAnsi="宋体" w:cs="宋体"/>
                <w:szCs w:val="21"/>
              </w:rPr>
              <w:t>广西壮族自治区南溪山医院食堂</w:t>
            </w:r>
            <w:r>
              <w:rPr>
                <w:rFonts w:hint="eastAsia" w:ascii="宋体" w:hAnsi="宋体" w:cs="宋体"/>
                <w:szCs w:val="21"/>
                <w:lang w:eastAsia="zh-CN"/>
              </w:rPr>
              <w:t>运营</w:t>
            </w:r>
            <w:r>
              <w:rPr>
                <w:rFonts w:hint="eastAsia" w:ascii="宋体" w:hAnsi="宋体" w:cs="宋体"/>
                <w:szCs w:val="21"/>
              </w:rPr>
              <w:t>服务采购</w:t>
            </w:r>
          </w:p>
        </w:tc>
        <w:tc>
          <w:tcPr>
            <w:tcW w:w="870" w:type="dxa"/>
            <w:noWrap w:val="0"/>
            <w:vAlign w:val="center"/>
          </w:tcPr>
          <w:p>
            <w:pPr>
              <w:spacing w:line="360" w:lineRule="auto"/>
              <w:rPr>
                <w:rFonts w:hint="eastAsia" w:ascii="宋体" w:hAnsi="宋体" w:cs="宋体"/>
                <w:szCs w:val="21"/>
              </w:rPr>
            </w:pPr>
            <w:r>
              <w:rPr>
                <w:rFonts w:hint="eastAsia" w:ascii="宋体" w:hAnsi="宋体" w:cs="宋体"/>
                <w:szCs w:val="21"/>
              </w:rPr>
              <w:t>1</w:t>
            </w:r>
          </w:p>
        </w:tc>
        <w:tc>
          <w:tcPr>
            <w:tcW w:w="735" w:type="dxa"/>
            <w:noWrap w:val="0"/>
            <w:vAlign w:val="center"/>
          </w:tcPr>
          <w:p>
            <w:pPr>
              <w:spacing w:line="360" w:lineRule="auto"/>
              <w:rPr>
                <w:rFonts w:hint="eastAsia" w:ascii="宋体" w:hAnsi="宋体" w:cs="宋体"/>
                <w:szCs w:val="21"/>
              </w:rPr>
            </w:pPr>
            <w:r>
              <w:rPr>
                <w:rFonts w:hint="eastAsia" w:ascii="宋体" w:hAnsi="宋体" w:cs="宋体"/>
                <w:szCs w:val="21"/>
              </w:rPr>
              <w:t>项</w:t>
            </w:r>
          </w:p>
        </w:tc>
        <w:tc>
          <w:tcPr>
            <w:tcW w:w="3948" w:type="dxa"/>
            <w:noWrap w:val="0"/>
            <w:vAlign w:val="center"/>
          </w:tcPr>
          <w:p>
            <w:pPr>
              <w:spacing w:line="360" w:lineRule="auto"/>
              <w:jc w:val="left"/>
              <w:rPr>
                <w:rFonts w:hint="eastAsia" w:ascii="宋体" w:hAnsi="宋体" w:cs="宋体"/>
                <w:szCs w:val="21"/>
              </w:rPr>
            </w:pPr>
            <w:r>
              <w:rPr>
                <w:spacing w:val="-6"/>
              </w:rPr>
              <w:t>为医院职工、病人供应早、中、晚三餐等，其</w:t>
            </w:r>
            <w:r>
              <w:rPr>
                <w:spacing w:val="-13"/>
              </w:rPr>
              <w:t>中早餐供应必须有米粉，中、晚餐以快餐为主，同时配有稀饭、营养汤等。</w:t>
            </w:r>
          </w:p>
        </w:tc>
      </w:tr>
    </w:tbl>
    <w:p>
      <w:pPr>
        <w:spacing w:line="360" w:lineRule="auto"/>
        <w:ind w:firstLine="420" w:firstLineChars="200"/>
        <w:rPr>
          <w:rFonts w:hint="eastAsia" w:ascii="宋体" w:hAnsi="宋体" w:cs="宋体"/>
          <w:szCs w:val="21"/>
        </w:rPr>
      </w:pPr>
      <w:r>
        <w:rPr>
          <w:rFonts w:hint="eastAsia" w:ascii="宋体" w:hAnsi="宋体" w:cs="宋体"/>
          <w:szCs w:val="21"/>
        </w:rPr>
        <w:t>如需进一步了解详细内容，详见竞争性磋商文件。</w:t>
      </w:r>
    </w:p>
    <w:p>
      <w:pPr>
        <w:spacing w:line="360" w:lineRule="auto"/>
        <w:rPr>
          <w:rFonts w:hint="eastAsia" w:ascii="宋体" w:hAnsi="宋体" w:cs="宋体"/>
          <w:b/>
          <w:bCs/>
          <w:szCs w:val="21"/>
        </w:rPr>
      </w:pPr>
      <w:bookmarkStart w:id="7" w:name="_Toc35393799"/>
      <w:bookmarkStart w:id="8" w:name="_Toc28359090"/>
      <w:bookmarkStart w:id="9" w:name="_Toc28359013"/>
      <w:bookmarkStart w:id="10" w:name="_Toc35393630"/>
      <w:r>
        <w:rPr>
          <w:rFonts w:hint="eastAsia" w:ascii="宋体" w:hAnsi="宋体" w:cs="宋体"/>
          <w:b/>
          <w:bCs/>
          <w:szCs w:val="21"/>
        </w:rPr>
        <w:t>二、申请人的资格要求：</w:t>
      </w:r>
      <w:bookmarkEnd w:id="7"/>
      <w:bookmarkEnd w:id="8"/>
      <w:bookmarkEnd w:id="9"/>
      <w:bookmarkEnd w:id="10"/>
    </w:p>
    <w:p>
      <w:pPr>
        <w:tabs>
          <w:tab w:val="left" w:pos="9072"/>
        </w:tabs>
        <w:spacing w:line="360" w:lineRule="auto"/>
        <w:ind w:right="-1" w:firstLine="420" w:firstLineChars="200"/>
        <w:jc w:val="left"/>
        <w:rPr>
          <w:rFonts w:hint="eastAsia"/>
        </w:rPr>
      </w:pPr>
      <w:r>
        <w:rPr>
          <w:rFonts w:hint="eastAsia"/>
        </w:rPr>
        <w:t>1.国内注册（指按国家有关规定要求注册的）具备独立法人资格，能够提供本次采购服务，且具有独立承担民事责任的能力，独立承担经营活动中所产生的债权、债务，独立承担工商、税收、物价、卫生、安全等方面相关责任的供应商。</w:t>
      </w:r>
    </w:p>
    <w:p>
      <w:pPr>
        <w:tabs>
          <w:tab w:val="left" w:pos="9072"/>
        </w:tabs>
        <w:spacing w:line="360" w:lineRule="auto"/>
        <w:ind w:right="-1" w:firstLine="420" w:firstLineChars="200"/>
        <w:jc w:val="left"/>
        <w:rPr>
          <w:rFonts w:hint="eastAsia"/>
          <w:highlight w:val="yellow"/>
        </w:rPr>
      </w:pPr>
      <w:r>
        <w:rPr>
          <w:rFonts w:hint="eastAsia"/>
          <w:highlight w:val="yellow"/>
        </w:rPr>
        <w:t>2.具备有效的食品经营许可证。</w:t>
      </w:r>
    </w:p>
    <w:p>
      <w:pPr>
        <w:tabs>
          <w:tab w:val="left" w:pos="9072"/>
        </w:tabs>
        <w:spacing w:line="360" w:lineRule="auto"/>
        <w:ind w:right="-1" w:firstLine="420" w:firstLineChars="200"/>
        <w:jc w:val="left"/>
        <w:rPr>
          <w:rStyle w:val="13"/>
          <w:rFonts w:hint="eastAsia"/>
        </w:rPr>
      </w:pPr>
      <w:r>
        <w:rPr>
          <w:rFonts w:hint="eastAsia"/>
        </w:rPr>
        <w:t>3</w:t>
      </w:r>
      <w:r>
        <w:rPr>
          <w:rStyle w:val="13"/>
          <w:rFonts w:hint="eastAsia"/>
        </w:rPr>
        <w:t>.单位负责人为同一人或者存在直接控股、管理关系的不同供应商，不得参加同一合同项下的</w:t>
      </w:r>
      <w:r>
        <w:rPr>
          <w:rFonts w:hint="eastAsia"/>
        </w:rPr>
        <w:t>本项目</w:t>
      </w:r>
      <w:r>
        <w:rPr>
          <w:rStyle w:val="13"/>
          <w:rFonts w:hint="eastAsia"/>
        </w:rPr>
        <w:t>采购活动。</w:t>
      </w:r>
    </w:p>
    <w:p>
      <w:pPr>
        <w:tabs>
          <w:tab w:val="left" w:pos="9072"/>
        </w:tabs>
        <w:spacing w:line="360" w:lineRule="auto"/>
        <w:ind w:right="-1" w:firstLine="420" w:firstLineChars="200"/>
        <w:jc w:val="left"/>
        <w:rPr>
          <w:rStyle w:val="13"/>
          <w:rFonts w:hint="eastAsia"/>
        </w:rPr>
      </w:pPr>
      <w:r>
        <w:rPr>
          <w:rFonts w:hint="eastAsia"/>
        </w:rPr>
        <w:t>4</w:t>
      </w:r>
      <w:r>
        <w:rPr>
          <w:rStyle w:val="13"/>
          <w:rFonts w:hint="eastAsia"/>
        </w:rPr>
        <w:t>.对在“信用中国”网站(www.creditchina.gov.cn)等渠道列入失信被执行人、重大税收违法案件当事人名单、政府采购严重违法失信行为记录名单的供应商，不得参与本项目招标活动。</w:t>
      </w:r>
    </w:p>
    <w:p>
      <w:pPr>
        <w:tabs>
          <w:tab w:val="left" w:pos="9072"/>
        </w:tabs>
        <w:spacing w:line="360" w:lineRule="auto"/>
        <w:ind w:right="-1" w:firstLine="420" w:firstLineChars="200"/>
        <w:jc w:val="left"/>
        <w:rPr>
          <w:rStyle w:val="13"/>
          <w:rFonts w:hint="eastAsia"/>
        </w:rPr>
      </w:pPr>
      <w:r>
        <w:rPr>
          <w:rFonts w:hint="eastAsia"/>
        </w:rPr>
        <w:t>5</w:t>
      </w:r>
      <w:r>
        <w:rPr>
          <w:rStyle w:val="13"/>
          <w:rFonts w:hint="eastAsia"/>
        </w:rPr>
        <w:t>.本项目不接受联合体磋商。</w:t>
      </w:r>
    </w:p>
    <w:bookmarkEnd w:id="4"/>
    <w:bookmarkEnd w:id="5"/>
    <w:bookmarkEnd w:id="6"/>
    <w:p>
      <w:pPr>
        <w:tabs>
          <w:tab w:val="left" w:pos="1065"/>
          <w:tab w:val="center" w:pos="4411"/>
        </w:tabs>
        <w:spacing w:line="360" w:lineRule="atLeast"/>
        <w:jc w:val="center"/>
        <w:rPr>
          <w:rFonts w:hint="eastAsia" w:ascii="宋体" w:hAnsi="宋体" w:cs="宋体"/>
          <w:b/>
          <w:sz w:val="24"/>
        </w:rPr>
      </w:pPr>
    </w:p>
    <w:p>
      <w:pPr>
        <w:pStyle w:val="7"/>
        <w:rPr>
          <w:rFonts w:hint="eastAsia" w:ascii="宋体" w:hAnsi="宋体" w:cs="宋体"/>
        </w:rPr>
      </w:pPr>
      <w:r>
        <w:rPr>
          <w:rFonts w:hint="eastAsia" w:ascii="宋体" w:hAnsi="宋体" w:cs="宋体"/>
        </w:rPr>
        <w:br w:type="page"/>
      </w:r>
    </w:p>
    <w:p>
      <w:pPr>
        <w:spacing w:line="360" w:lineRule="auto"/>
        <w:ind w:firstLine="420" w:firstLineChars="200"/>
        <w:rPr>
          <w:rFonts w:hint="eastAsia" w:ascii="宋体" w:hAnsi="宋体" w:cs="宋体"/>
        </w:rPr>
      </w:pPr>
    </w:p>
    <w:p>
      <w:pPr>
        <w:pStyle w:val="3"/>
        <w:spacing w:before="0" w:after="0" w:line="240" w:lineRule="auto"/>
        <w:jc w:val="center"/>
        <w:rPr>
          <w:rFonts w:hint="eastAsia" w:ascii="宋体" w:hAnsi="宋体" w:cs="宋体"/>
        </w:rPr>
      </w:pPr>
      <w:bookmarkStart w:id="11" w:name="_Toc10080"/>
      <w:bookmarkStart w:id="12" w:name="_Toc14473"/>
      <w:bookmarkStart w:id="13" w:name="_Toc20366"/>
      <w:bookmarkStart w:id="14" w:name="_Toc5523"/>
      <w:r>
        <w:rPr>
          <w:rFonts w:hint="eastAsia" w:ascii="宋体" w:hAnsi="宋体" w:cs="宋体"/>
        </w:rPr>
        <w:t>采购项目需求</w:t>
      </w:r>
      <w:bookmarkEnd w:id="11"/>
      <w:bookmarkEnd w:id="12"/>
      <w:bookmarkEnd w:id="13"/>
      <w:bookmarkEnd w:id="14"/>
    </w:p>
    <w:p>
      <w:pPr>
        <w:rPr>
          <w:rFonts w:hint="eastAsia" w:ascii="宋体" w:hAnsi="宋体" w:cs="宋体"/>
        </w:rPr>
      </w:pPr>
    </w:p>
    <w:p>
      <w:pPr>
        <w:spacing w:line="360" w:lineRule="auto"/>
        <w:rPr>
          <w:b/>
          <w:bCs/>
        </w:rPr>
      </w:pPr>
      <w:r>
        <w:rPr>
          <w:b/>
          <w:bCs/>
        </w:rPr>
        <w:t>一、项目概况</w:t>
      </w:r>
    </w:p>
    <w:p>
      <w:pPr>
        <w:spacing w:line="360" w:lineRule="auto"/>
        <w:ind w:firstLine="420" w:firstLineChars="200"/>
      </w:pPr>
      <w:r>
        <w:t>（一）医院食堂基本情况</w:t>
      </w:r>
    </w:p>
    <w:p>
      <w:pPr>
        <w:spacing w:line="360" w:lineRule="auto"/>
        <w:ind w:firstLine="420" w:firstLineChars="200"/>
      </w:pPr>
      <w:r>
        <w:t>1、南溪山医院食堂位于医院的中心位置，建筑面积约917平方米，设备基本齐全。</w:t>
      </w:r>
    </w:p>
    <w:p>
      <w:pPr>
        <w:spacing w:line="360" w:lineRule="auto"/>
        <w:ind w:firstLine="420" w:firstLineChars="200"/>
      </w:pPr>
      <w:r>
        <w:t>2、食堂设有较完善的厨房、备餐间和餐厅；厨房基本设备齐全，餐厅餐桌齐备。医院职工约2</w:t>
      </w:r>
      <w:r>
        <w:rPr>
          <w:rFonts w:hint="eastAsia"/>
        </w:rPr>
        <w:t>2</w:t>
      </w:r>
      <w:r>
        <w:t>00人，每天平均住院病人约为1700人。</w:t>
      </w:r>
    </w:p>
    <w:p>
      <w:pPr>
        <w:spacing w:line="360" w:lineRule="auto"/>
        <w:ind w:firstLine="420" w:firstLineChars="200"/>
      </w:pPr>
      <w:r>
        <w:t>（二）项目采购内容</w:t>
      </w:r>
    </w:p>
    <w:tbl>
      <w:tblPr>
        <w:tblStyle w:val="11"/>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7"/>
        <w:gridCol w:w="2839"/>
        <w:gridCol w:w="623"/>
        <w:gridCol w:w="646"/>
        <w:gridCol w:w="37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87" w:type="dxa"/>
            <w:noWrap w:val="0"/>
            <w:vAlign w:val="top"/>
          </w:tcPr>
          <w:p>
            <w:pPr>
              <w:spacing w:line="360" w:lineRule="auto"/>
              <w:jc w:val="center"/>
            </w:pPr>
            <w:r>
              <w:t>项号</w:t>
            </w:r>
          </w:p>
        </w:tc>
        <w:tc>
          <w:tcPr>
            <w:tcW w:w="2839" w:type="dxa"/>
            <w:noWrap w:val="0"/>
            <w:vAlign w:val="top"/>
          </w:tcPr>
          <w:p>
            <w:pPr>
              <w:spacing w:line="360" w:lineRule="auto"/>
              <w:jc w:val="center"/>
            </w:pPr>
            <w:r>
              <w:t>服务名称</w:t>
            </w:r>
          </w:p>
        </w:tc>
        <w:tc>
          <w:tcPr>
            <w:tcW w:w="623" w:type="dxa"/>
            <w:noWrap w:val="0"/>
            <w:vAlign w:val="top"/>
          </w:tcPr>
          <w:p>
            <w:pPr>
              <w:spacing w:line="360" w:lineRule="auto"/>
              <w:jc w:val="center"/>
            </w:pPr>
            <w:r>
              <w:t>数量</w:t>
            </w:r>
          </w:p>
        </w:tc>
        <w:tc>
          <w:tcPr>
            <w:tcW w:w="646" w:type="dxa"/>
            <w:noWrap w:val="0"/>
            <w:vAlign w:val="top"/>
          </w:tcPr>
          <w:p>
            <w:pPr>
              <w:spacing w:line="360" w:lineRule="auto"/>
              <w:jc w:val="center"/>
            </w:pPr>
            <w:r>
              <w:t>单位</w:t>
            </w:r>
          </w:p>
        </w:tc>
        <w:tc>
          <w:tcPr>
            <w:tcW w:w="3763" w:type="dxa"/>
            <w:noWrap w:val="0"/>
            <w:vAlign w:val="top"/>
          </w:tcPr>
          <w:p>
            <w:pPr>
              <w:spacing w:line="360" w:lineRule="auto"/>
              <w:ind w:firstLine="420" w:firstLineChars="200"/>
              <w:jc w:val="center"/>
            </w:pPr>
            <w:r>
              <w:t>简要规格描述或项目基本概况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887" w:type="dxa"/>
            <w:noWrap w:val="0"/>
            <w:vAlign w:val="center"/>
          </w:tcPr>
          <w:p>
            <w:pPr>
              <w:spacing w:line="360" w:lineRule="auto"/>
              <w:jc w:val="center"/>
            </w:pPr>
            <w:r>
              <w:t>1</w:t>
            </w:r>
          </w:p>
        </w:tc>
        <w:tc>
          <w:tcPr>
            <w:tcW w:w="2839" w:type="dxa"/>
            <w:noWrap w:val="0"/>
            <w:vAlign w:val="center"/>
          </w:tcPr>
          <w:p>
            <w:pPr>
              <w:spacing w:line="360" w:lineRule="auto"/>
            </w:pPr>
            <w:r>
              <w:t>广西壮族自治区南溪山医院食堂</w:t>
            </w:r>
            <w:r>
              <w:rPr>
                <w:rFonts w:hint="eastAsia"/>
                <w:lang w:eastAsia="zh-CN"/>
              </w:rPr>
              <w:t>运营</w:t>
            </w:r>
            <w:r>
              <w:t>服务采购</w:t>
            </w:r>
          </w:p>
        </w:tc>
        <w:tc>
          <w:tcPr>
            <w:tcW w:w="623" w:type="dxa"/>
            <w:noWrap w:val="0"/>
            <w:vAlign w:val="center"/>
          </w:tcPr>
          <w:p>
            <w:pPr>
              <w:spacing w:line="360" w:lineRule="auto"/>
              <w:jc w:val="center"/>
            </w:pPr>
            <w:r>
              <w:t>1</w:t>
            </w:r>
          </w:p>
        </w:tc>
        <w:tc>
          <w:tcPr>
            <w:tcW w:w="646" w:type="dxa"/>
            <w:noWrap w:val="0"/>
            <w:vAlign w:val="center"/>
          </w:tcPr>
          <w:p>
            <w:pPr>
              <w:spacing w:line="360" w:lineRule="auto"/>
              <w:jc w:val="center"/>
            </w:pPr>
            <w:r>
              <w:t>项</w:t>
            </w:r>
          </w:p>
        </w:tc>
        <w:tc>
          <w:tcPr>
            <w:tcW w:w="3763" w:type="dxa"/>
            <w:noWrap w:val="0"/>
            <w:vAlign w:val="top"/>
          </w:tcPr>
          <w:p>
            <w:pPr>
              <w:spacing w:line="360" w:lineRule="auto"/>
            </w:pPr>
            <w:r>
              <w:t>为医院职工、病人供应早、中、晚三餐等，其中早餐供应必须有米粉，中、晚餐以快餐为主，同时配有稀饭、营养汤等。</w:t>
            </w:r>
          </w:p>
        </w:tc>
      </w:tr>
    </w:tbl>
    <w:p>
      <w:pPr>
        <w:spacing w:line="360" w:lineRule="auto"/>
        <w:ind w:firstLine="420" w:firstLineChars="200"/>
      </w:pPr>
      <w:r>
        <w:t>（三）</w:t>
      </w:r>
      <w:r>
        <w:rPr>
          <w:rFonts w:hint="eastAsia"/>
        </w:rPr>
        <w:t>供应商</w:t>
      </w:r>
      <w:r>
        <w:t>的</w:t>
      </w:r>
      <w:r>
        <w:rPr>
          <w:rFonts w:hint="eastAsia"/>
        </w:rPr>
        <w:t>食堂经营售价</w:t>
      </w:r>
      <w:r>
        <w:t>：</w:t>
      </w:r>
    </w:p>
    <w:p>
      <w:pPr>
        <w:spacing w:line="360" w:lineRule="auto"/>
        <w:ind w:firstLine="420" w:firstLineChars="200"/>
      </w:pPr>
      <w:r>
        <w:rPr>
          <w:rFonts w:hint="eastAsia"/>
        </w:rPr>
        <w:t>供应商的食堂经营售价</w:t>
      </w:r>
      <w:r>
        <w:t>：出售的饭菜价格根据市场询价统一制定，并经</w:t>
      </w:r>
      <w:r>
        <w:rPr>
          <w:rFonts w:hint="eastAsia"/>
        </w:rPr>
        <w:t>采购人</w:t>
      </w:r>
      <w:r>
        <w:t>审核。</w:t>
      </w:r>
    </w:p>
    <w:p>
      <w:pPr>
        <w:spacing w:line="360" w:lineRule="auto"/>
        <w:ind w:firstLine="420" w:firstLineChars="200"/>
      </w:pPr>
      <w:r>
        <w:t>（四）经营期限</w:t>
      </w:r>
    </w:p>
    <w:p>
      <w:pPr>
        <w:spacing w:line="360" w:lineRule="auto"/>
        <w:ind w:firstLine="420" w:firstLineChars="200"/>
        <w:jc w:val="left"/>
      </w:pPr>
      <w:r>
        <w:rPr>
          <w:rFonts w:hint="eastAsia"/>
          <w:highlight w:val="yellow"/>
          <w:lang w:val="en-US" w:eastAsia="zh-CN"/>
        </w:rPr>
        <w:t>2023年8月1日至医院通知截止时间（医院提前15日通知服务单位）</w:t>
      </w:r>
      <w:r>
        <w:t>。</w:t>
      </w:r>
    </w:p>
    <w:p>
      <w:pPr>
        <w:spacing w:line="360" w:lineRule="auto"/>
        <w:jc w:val="left"/>
        <w:rPr>
          <w:b/>
          <w:bCs/>
        </w:rPr>
      </w:pPr>
      <w:r>
        <w:rPr>
          <w:b/>
          <w:bCs/>
        </w:rPr>
        <w:t>二、经营管理</w:t>
      </w:r>
    </w:p>
    <w:p>
      <w:pPr>
        <w:spacing w:line="360" w:lineRule="auto"/>
        <w:ind w:firstLine="422" w:firstLineChars="200"/>
        <w:rPr>
          <w:b/>
          <w:bCs/>
        </w:rPr>
      </w:pPr>
      <w:r>
        <w:rPr>
          <w:b/>
          <w:bCs/>
        </w:rPr>
        <w:t>（一）管理模式</w:t>
      </w:r>
    </w:p>
    <w:p>
      <w:pPr>
        <w:spacing w:line="360" w:lineRule="auto"/>
        <w:ind w:firstLine="420" w:firstLineChars="200"/>
      </w:pPr>
      <w:r>
        <w:t>实行目标责任制，所有食堂窗口在医院统一管理的基础上，</w:t>
      </w:r>
      <w:r>
        <w:rPr>
          <w:rFonts w:hint="eastAsia"/>
        </w:rPr>
        <w:t>成交人</w:t>
      </w:r>
      <w:r>
        <w:t>自筹资金，自主经营，自负盈亏，独立承担经营风险及法律责任。医院拥有管理权，</w:t>
      </w:r>
      <w:r>
        <w:rPr>
          <w:rFonts w:hint="eastAsia"/>
        </w:rPr>
        <w:t>成交人</w:t>
      </w:r>
      <w:r>
        <w:t>拥有经营权。</w:t>
      </w:r>
      <w:r>
        <w:rPr>
          <w:rFonts w:hint="eastAsia"/>
        </w:rPr>
        <w:t>成交人</w:t>
      </w:r>
      <w:r>
        <w:t>出售的饭菜价格根据市场询价统一制定，并经</w:t>
      </w:r>
      <w:r>
        <w:rPr>
          <w:rFonts w:hint="eastAsia"/>
        </w:rPr>
        <w:t>采购人</w:t>
      </w:r>
      <w:r>
        <w:t>审核，</w:t>
      </w:r>
      <w:r>
        <w:rPr>
          <w:rFonts w:hint="eastAsia"/>
        </w:rPr>
        <w:t>成交人</w:t>
      </w:r>
      <w:r>
        <w:t>须每月向医院交纳一定食堂运营基金费用。</w:t>
      </w:r>
    </w:p>
    <w:p>
      <w:pPr>
        <w:spacing w:line="360" w:lineRule="auto"/>
        <w:ind w:firstLine="422" w:firstLineChars="200"/>
        <w:rPr>
          <w:b/>
          <w:bCs/>
        </w:rPr>
      </w:pPr>
      <w:r>
        <w:rPr>
          <w:b/>
          <w:bCs/>
        </w:rPr>
        <w:t>（二）经营期间成交人须承担的费用</w:t>
      </w:r>
    </w:p>
    <w:p>
      <w:pPr>
        <w:spacing w:line="360" w:lineRule="auto"/>
        <w:ind w:firstLine="420" w:firstLineChars="200"/>
      </w:pPr>
      <w:r>
        <w:t>1、</w:t>
      </w:r>
      <w:r>
        <w:rPr>
          <w:rFonts w:hint="eastAsia"/>
        </w:rPr>
        <w:t>成交人</w:t>
      </w:r>
      <w:r>
        <w:t>实行独立核算，自主经营，自负盈亏，对其所有经营行为承担一切责任。</w:t>
      </w:r>
    </w:p>
    <w:p>
      <w:pPr>
        <w:spacing w:line="360" w:lineRule="auto"/>
        <w:ind w:firstLine="420" w:firstLineChars="200"/>
      </w:pPr>
      <w:r>
        <w:t>2、</w:t>
      </w:r>
      <w:r>
        <w:rPr>
          <w:rFonts w:hint="eastAsia"/>
        </w:rPr>
        <w:t>成交人</w:t>
      </w:r>
      <w:r>
        <w:t>每月应支付食堂</w:t>
      </w:r>
      <w:r>
        <w:rPr>
          <w:highlight w:val="yellow"/>
        </w:rPr>
        <w:t>运营基金</w:t>
      </w:r>
      <w:r>
        <w:rPr>
          <w:rFonts w:hint="eastAsia"/>
          <w:highlight w:val="yellow"/>
          <w:u w:val="single"/>
        </w:rPr>
        <w:t xml:space="preserve"> （成交价） </w:t>
      </w:r>
      <w:r>
        <w:rPr>
          <w:highlight w:val="yellow"/>
        </w:rPr>
        <w:t>元</w:t>
      </w:r>
      <w:r>
        <w:t>，须在次月10日前向</w:t>
      </w:r>
      <w:r>
        <w:rPr>
          <w:rFonts w:hint="eastAsia"/>
        </w:rPr>
        <w:t>采购人</w:t>
      </w:r>
      <w:r>
        <w:t>支付。</w:t>
      </w:r>
    </w:p>
    <w:p>
      <w:pPr>
        <w:spacing w:line="360" w:lineRule="auto"/>
        <w:ind w:firstLine="420" w:firstLineChars="200"/>
      </w:pPr>
      <w:r>
        <w:t>3、医院提供现有的厨房设备、设施及餐厅场地，</w:t>
      </w:r>
      <w:r>
        <w:rPr>
          <w:rFonts w:hint="eastAsia"/>
        </w:rPr>
        <w:t>成交人</w:t>
      </w:r>
      <w:r>
        <w:t>根据经营需要如须购置设备的，由其自行购置，同时报医院备案。合同期满后</w:t>
      </w:r>
      <w:r>
        <w:rPr>
          <w:rFonts w:hint="eastAsia"/>
        </w:rPr>
        <w:t>成交人</w:t>
      </w:r>
      <w:r>
        <w:t>购置有关设备</w:t>
      </w:r>
      <w:r>
        <w:rPr>
          <w:rFonts w:hint="eastAsia"/>
        </w:rPr>
        <w:t>成交人</w:t>
      </w:r>
      <w:r>
        <w:t>无条件地自行撤离医院。</w:t>
      </w:r>
    </w:p>
    <w:p>
      <w:pPr>
        <w:spacing w:line="360" w:lineRule="auto"/>
        <w:ind w:firstLine="420" w:firstLineChars="200"/>
      </w:pPr>
      <w:r>
        <w:t>4、</w:t>
      </w:r>
      <w:r>
        <w:rPr>
          <w:rFonts w:hint="eastAsia"/>
        </w:rPr>
        <w:t>成交人</w:t>
      </w:r>
      <w:r>
        <w:t>自行承担食材采购成本、水电费、燃气费、垃圾清理费等涉及食堂运营的一切开支。</w:t>
      </w:r>
    </w:p>
    <w:p>
      <w:pPr>
        <w:spacing w:line="360" w:lineRule="auto"/>
        <w:ind w:firstLine="420" w:firstLineChars="200"/>
      </w:pPr>
      <w:r>
        <w:t>5、</w:t>
      </w:r>
      <w:r>
        <w:rPr>
          <w:rFonts w:hint="eastAsia"/>
        </w:rPr>
        <w:t>成交人</w:t>
      </w:r>
      <w:r>
        <w:t>自行承担聘用人员工资、社会保险费、奖金、补贴、资审费（员工办理健康证、胸卡等）等费用，如发生工伤等意外，一切费用由</w:t>
      </w:r>
      <w:r>
        <w:rPr>
          <w:rFonts w:hint="eastAsia"/>
        </w:rPr>
        <w:t>成交人</w:t>
      </w:r>
      <w:r>
        <w:t>负责。</w:t>
      </w:r>
    </w:p>
    <w:p>
      <w:pPr>
        <w:spacing w:line="360" w:lineRule="auto"/>
        <w:ind w:firstLine="420" w:firstLineChars="200"/>
      </w:pPr>
      <w:r>
        <w:t>6、食堂设施设备、电路养护维修及排水沟疏通等由</w:t>
      </w:r>
      <w:r>
        <w:rPr>
          <w:rFonts w:hint="eastAsia"/>
        </w:rPr>
        <w:t>成交人</w:t>
      </w:r>
      <w:r>
        <w:t>自行负责，并承担相关费用，不得因此影响食堂正常餐饮供应。</w:t>
      </w:r>
    </w:p>
    <w:p>
      <w:pPr>
        <w:spacing w:line="360" w:lineRule="auto"/>
        <w:ind w:firstLine="422" w:firstLineChars="200"/>
        <w:rPr>
          <w:b/>
          <w:bCs/>
        </w:rPr>
      </w:pPr>
      <w:r>
        <w:rPr>
          <w:b/>
          <w:bCs/>
        </w:rPr>
        <w:t>（三）基础设施设备</w:t>
      </w:r>
    </w:p>
    <w:p>
      <w:pPr>
        <w:spacing w:line="360" w:lineRule="auto"/>
        <w:ind w:firstLine="420" w:firstLineChars="200"/>
      </w:pPr>
      <w:r>
        <w:t>1、医院提供基本设施、设备，主要包括配套排油烟设备、冰箱、部分厨用具（如清洗池、工作台等）、餐桌椅等，由医院列出现有设备清单，</w:t>
      </w:r>
      <w:r>
        <w:rPr>
          <w:rFonts w:hint="eastAsia"/>
        </w:rPr>
        <w:t>成交人</w:t>
      </w:r>
      <w:r>
        <w:t>签名领用，所有设施设备全部由</w:t>
      </w:r>
      <w:r>
        <w:rPr>
          <w:rFonts w:hint="eastAsia"/>
        </w:rPr>
        <w:t>成交人</w:t>
      </w:r>
      <w:r>
        <w:t>负责维护、维修。</w:t>
      </w:r>
      <w:r>
        <w:rPr>
          <w:rFonts w:hint="eastAsia"/>
        </w:rPr>
        <w:t>成交人</w:t>
      </w:r>
      <w:r>
        <w:t>应妥善保管使用，在合同期满后，由医院进行盘点，遗失损坏由乙方赔偿。</w:t>
      </w:r>
    </w:p>
    <w:p>
      <w:pPr>
        <w:spacing w:line="360" w:lineRule="auto"/>
        <w:ind w:firstLine="420" w:firstLineChars="200"/>
      </w:pPr>
      <w:r>
        <w:t>2、</w:t>
      </w:r>
      <w:r>
        <w:rPr>
          <w:rFonts w:hint="eastAsia"/>
        </w:rPr>
        <w:t>成交人</w:t>
      </w:r>
      <w:r>
        <w:t>根据经营方案需添置厨房设备，由</w:t>
      </w:r>
      <w:r>
        <w:rPr>
          <w:rFonts w:hint="eastAsia"/>
        </w:rPr>
        <w:t>成交人</w:t>
      </w:r>
      <w:r>
        <w:t>自行购置，报医院备案。合同期满后自行添置的有关厨房设备餐具由</w:t>
      </w:r>
      <w:r>
        <w:rPr>
          <w:rFonts w:hint="eastAsia"/>
        </w:rPr>
        <w:t>成交人</w:t>
      </w:r>
      <w:r>
        <w:t>自行处理，合同期满10个工作日内，</w:t>
      </w:r>
      <w:r>
        <w:rPr>
          <w:rFonts w:hint="eastAsia"/>
        </w:rPr>
        <w:t>成交人</w:t>
      </w:r>
      <w:r>
        <w:t>应无条件将经营场所清理交还给医院；逾期未清理的设备设施及物品，视为</w:t>
      </w:r>
      <w:r>
        <w:rPr>
          <w:rFonts w:hint="eastAsia"/>
        </w:rPr>
        <w:t>成交人</w:t>
      </w:r>
      <w:r>
        <w:t>废弃物，医院将予处置，由此产生的合理费用由</w:t>
      </w:r>
      <w:r>
        <w:rPr>
          <w:rFonts w:hint="eastAsia"/>
        </w:rPr>
        <w:t>成交人</w:t>
      </w:r>
      <w:r>
        <w:t>承担。</w:t>
      </w:r>
      <w:r>
        <w:rPr>
          <w:rFonts w:hint="eastAsia"/>
        </w:rPr>
        <w:t>成交人</w:t>
      </w:r>
      <w:r>
        <w:t>在营业期间对就餐环境、基础设施的改造投入，合同期满后所有权归医院。</w:t>
      </w:r>
    </w:p>
    <w:p>
      <w:pPr>
        <w:spacing w:line="360" w:lineRule="auto"/>
        <w:ind w:firstLine="420" w:firstLineChars="200"/>
      </w:pPr>
      <w:r>
        <w:t>3、经营过程中</w:t>
      </w:r>
      <w:r>
        <w:rPr>
          <w:rFonts w:hint="eastAsia"/>
        </w:rPr>
        <w:t>成交人</w:t>
      </w:r>
      <w:r>
        <w:t>不得私自改动现有食堂布局结构。若需局部变动或装饰装修等，需书面报经医院批准后方可施工，费用由</w:t>
      </w:r>
      <w:r>
        <w:rPr>
          <w:rFonts w:hint="eastAsia"/>
        </w:rPr>
        <w:t>成交人</w:t>
      </w:r>
      <w:r>
        <w:t>自行承担，且合同期满后无偿交还医院。</w:t>
      </w:r>
    </w:p>
    <w:p>
      <w:pPr>
        <w:spacing w:line="360" w:lineRule="auto"/>
        <w:ind w:firstLine="420" w:firstLineChars="200"/>
      </w:pPr>
      <w:r>
        <w:t>4、</w:t>
      </w:r>
      <w:r>
        <w:rPr>
          <w:rFonts w:hint="eastAsia"/>
        </w:rPr>
        <w:t>成交人</w:t>
      </w:r>
      <w:r>
        <w:t>应加强食堂经营的资产管理，做好食堂设施、设备的维护、保养和维修，未经医院同意不得改变资产使用性质。</w:t>
      </w:r>
    </w:p>
    <w:p>
      <w:pPr>
        <w:spacing w:line="360" w:lineRule="auto"/>
        <w:ind w:firstLine="422" w:firstLineChars="200"/>
        <w:rPr>
          <w:b/>
          <w:bCs/>
        </w:rPr>
      </w:pPr>
      <w:r>
        <w:rPr>
          <w:b/>
          <w:bCs/>
        </w:rPr>
        <w:t>（四）经营管理要求</w:t>
      </w:r>
    </w:p>
    <w:p>
      <w:pPr>
        <w:spacing w:line="360" w:lineRule="auto"/>
        <w:ind w:firstLine="420" w:firstLineChars="200"/>
      </w:pPr>
      <w:r>
        <w:t>1、</w:t>
      </w:r>
      <w:r>
        <w:rPr>
          <w:rFonts w:hint="eastAsia"/>
        </w:rPr>
        <w:t>成交人</w:t>
      </w:r>
      <w:r>
        <w:t>应遵守国家的有关法律和医院的各项规章制度，全面负责经营区域范围的安全、保卫，包括员工人身安全、食品卫生安全、防盗、防火、用电、用气安全，如发生食品安全、火灾、失窃等事故，造成的一切损失均由</w:t>
      </w:r>
      <w:r>
        <w:rPr>
          <w:rFonts w:hint="eastAsia"/>
        </w:rPr>
        <w:t>成交人</w:t>
      </w:r>
      <w:r>
        <w:t>负责，直至追究相应刑事责任。</w:t>
      </w:r>
    </w:p>
    <w:p>
      <w:pPr>
        <w:spacing w:line="360" w:lineRule="auto"/>
        <w:ind w:firstLine="420" w:firstLineChars="200"/>
      </w:pPr>
      <w:r>
        <w:t>2、</w:t>
      </w:r>
      <w:r>
        <w:rPr>
          <w:rFonts w:hint="eastAsia"/>
        </w:rPr>
        <w:t>成交人</w:t>
      </w:r>
      <w:r>
        <w:t>应严格遵守</w:t>
      </w:r>
      <w:r>
        <w:rPr>
          <w:rFonts w:hint="eastAsia"/>
        </w:rPr>
        <w:t>《</w:t>
      </w:r>
      <w:r>
        <w:t>中华人民共和国食品安全法》、《饮食服务食品安全操作规范》、《医院食堂与学生集体用餐卫生管理规定》等国家相关法规和医院规章，建立健全内部管理制度，认真做好食品原料的采购验收（自行采购部分）、贮存和食品的加工、出售等各项工作，认真做好餐厅内外的环境卫生工作，为医院患者及家属提供安全、卫生、优质的饮食服务，维护医院安全稳定大局。食堂潲水、废弃油脂等废弃物由医院按照有关规定要求统一处理，</w:t>
      </w:r>
      <w:r>
        <w:rPr>
          <w:rFonts w:hint="eastAsia"/>
        </w:rPr>
        <w:t>成交人</w:t>
      </w:r>
      <w:r>
        <w:t>应予完全配合。</w:t>
      </w:r>
    </w:p>
    <w:p>
      <w:pPr>
        <w:spacing w:line="360" w:lineRule="auto"/>
        <w:ind w:firstLine="420" w:firstLineChars="200"/>
      </w:pPr>
      <w:r>
        <w:t>3、</w:t>
      </w:r>
      <w:r>
        <w:rPr>
          <w:rFonts w:hint="eastAsia"/>
        </w:rPr>
        <w:t>成交人</w:t>
      </w:r>
      <w:r>
        <w:t>切实承担起食品安全主体责任，严格按照食品安全相关法律法现，开展食品加工、售卖，不得出售有毒、有害、变质食品，否则由</w:t>
      </w:r>
      <w:r>
        <w:rPr>
          <w:rFonts w:hint="eastAsia"/>
        </w:rPr>
        <w:t>成交人</w:t>
      </w:r>
      <w:r>
        <w:t>承担全部的经济责任与法律责任。</w:t>
      </w:r>
    </w:p>
    <w:p>
      <w:pPr>
        <w:spacing w:line="360" w:lineRule="auto"/>
        <w:ind w:firstLine="420" w:firstLineChars="200"/>
      </w:pPr>
      <w:r>
        <w:t>4、</w:t>
      </w:r>
      <w:r>
        <w:rPr>
          <w:rFonts w:hint="eastAsia"/>
        </w:rPr>
        <w:t>成交人</w:t>
      </w:r>
      <w:r>
        <w:t>接受医院对经营行为的监督和管理，采取独立核算、自负盈亏的方式经营。确保基本食品供应和食品价格稳定，丰富花色品种，满足各层次就餐者的不同需求，努力提高就餐率。</w:t>
      </w:r>
    </w:p>
    <w:p>
      <w:pPr>
        <w:spacing w:line="360" w:lineRule="auto"/>
        <w:ind w:firstLine="420" w:firstLineChars="200"/>
        <w:rPr>
          <w:rFonts w:hint="eastAsia"/>
          <w:highlight w:val="yellow"/>
        </w:rPr>
      </w:pPr>
      <w:r>
        <w:rPr>
          <w:highlight w:val="yellow"/>
        </w:rPr>
        <w:t>5、食堂主要原材料和主要调味品等实行定点采购制度，食堂使用的基本原材料（米、油、肉类、禽类、调料、冻制品、鸡蛋、生物燃料等）由</w:t>
      </w:r>
      <w:r>
        <w:rPr>
          <w:rFonts w:hint="eastAsia"/>
          <w:highlight w:val="yellow"/>
        </w:rPr>
        <w:t>成交人在定点供货商购买</w:t>
      </w:r>
      <w:r>
        <w:rPr>
          <w:highlight w:val="yellow"/>
        </w:rPr>
        <w:t>确保原材料安全</w:t>
      </w:r>
      <w:r>
        <w:rPr>
          <w:rFonts w:hint="eastAsia"/>
          <w:highlight w:val="yellow"/>
        </w:rPr>
        <w:t>，定点供货商（需符合国家规定具备相关供应食材条件）可由成交人自行选定，但需由成交人向采购人报批同意后方可进行供应，若成交人在未经采购人同意备案的供货商购买食材，则视为违约处理，采购人有权对成交人进行处罚。若因食材供应问题出现食品卫生安全问题，则成交人和供货商均要承担相应连带责任。</w:t>
      </w:r>
    </w:p>
    <w:p>
      <w:pPr>
        <w:spacing w:line="360" w:lineRule="auto"/>
        <w:ind w:firstLine="420" w:firstLineChars="200"/>
      </w:pPr>
      <w:r>
        <w:t>6、</w:t>
      </w:r>
      <w:r>
        <w:rPr>
          <w:rFonts w:hint="eastAsia"/>
        </w:rPr>
        <w:t>成交人</w:t>
      </w:r>
      <w:r>
        <w:t>必须加强食堂经营卫生、消防和安全管理工作，确保无食物中毒、火灾、重大盗窃、重大人身安全等责任事故发生。</w:t>
      </w:r>
    </w:p>
    <w:p>
      <w:pPr>
        <w:spacing w:line="360" w:lineRule="auto"/>
        <w:ind w:firstLine="420" w:firstLineChars="200"/>
      </w:pPr>
      <w:r>
        <w:t>7、</w:t>
      </w:r>
      <w:r>
        <w:rPr>
          <w:rFonts w:hint="eastAsia"/>
        </w:rPr>
        <w:t>成交人</w:t>
      </w:r>
      <w:r>
        <w:t>必须接受医院和主管部门的监督和管理，积极配合医院食品安全卫生监督员的工作，自觉接受医院职能部门对食品原料采购、生产加工流程、卫生消毒、饭菜质量、饭菜价格、饭菜品种、服务规范等方面的全方位监督。</w:t>
      </w:r>
    </w:p>
    <w:p>
      <w:pPr>
        <w:spacing w:line="360" w:lineRule="auto"/>
        <w:ind w:firstLine="420" w:firstLineChars="200"/>
      </w:pPr>
      <w:r>
        <w:t>8、</w:t>
      </w:r>
      <w:r>
        <w:rPr>
          <w:rFonts w:hint="eastAsia"/>
        </w:rPr>
        <w:t>成交人</w:t>
      </w:r>
      <w:r>
        <w:t>必须保证搞好食品卫生、个人卫生，食堂内外环境卫生，从业人员持证上岗，并符合饮食行业操作的规范要求。按时做好经营区域内的卫生工作，如检查发现未按要求操作，每次处以300-500元不等的罚款。如遇卫生防疫部门或食品执法部门检查不符合要求的，因</w:t>
      </w:r>
      <w:r>
        <w:rPr>
          <w:rFonts w:hint="eastAsia"/>
        </w:rPr>
        <w:t>成交人</w:t>
      </w:r>
      <w:r>
        <w:t>或其他原因而造成的处罚由</w:t>
      </w:r>
      <w:r>
        <w:rPr>
          <w:rFonts w:hint="eastAsia"/>
        </w:rPr>
        <w:t>成交人</w:t>
      </w:r>
      <w:r>
        <w:t>自行承担全部责任（包括罚款和限期整改等）。</w:t>
      </w:r>
    </w:p>
    <w:p>
      <w:pPr>
        <w:spacing w:line="360" w:lineRule="auto"/>
        <w:ind w:firstLine="420" w:firstLineChars="200"/>
      </w:pPr>
      <w:r>
        <w:t>9、</w:t>
      </w:r>
      <w:r>
        <w:rPr>
          <w:rFonts w:hint="eastAsia"/>
        </w:rPr>
        <w:t>成交人</w:t>
      </w:r>
      <w:r>
        <w:t>应坚持服务第一的经营宗旨，实行微利经营，独自履行经营义务，不得委托其它任何第三方单位或人员代为履行，不得将项目出租、转让、转包、分包给第三方经营或以合作联营等方式变相实施前述行为。</w:t>
      </w:r>
    </w:p>
    <w:p>
      <w:pPr>
        <w:spacing w:line="360" w:lineRule="auto"/>
        <w:ind w:firstLine="420" w:firstLineChars="200"/>
      </w:pPr>
      <w:r>
        <w:t>1</w:t>
      </w:r>
      <w:r>
        <w:rPr>
          <w:rFonts w:hint="eastAsia"/>
        </w:rPr>
        <w:t>0</w:t>
      </w:r>
      <w:r>
        <w:t>、</w:t>
      </w:r>
      <w:r>
        <w:rPr>
          <w:rFonts w:hint="eastAsia"/>
        </w:rPr>
        <w:t>成交人</w:t>
      </w:r>
      <w:r>
        <w:t>在经营活动中，应及时结算业务单位货款，按时支付员工工资。由于</w:t>
      </w:r>
      <w:r>
        <w:rPr>
          <w:rFonts w:hint="eastAsia"/>
        </w:rPr>
        <w:t>成交人</w:t>
      </w:r>
      <w:r>
        <w:t>拖欠业务单位货款或拖欠员工工资导致相关投诉的，将影响医院对</w:t>
      </w:r>
      <w:r>
        <w:rPr>
          <w:rFonts w:hint="eastAsia"/>
        </w:rPr>
        <w:t>成交人</w:t>
      </w:r>
      <w:r>
        <w:t>的考核；对医院造成不良影响的，医院有权解除合同，并追究</w:t>
      </w:r>
      <w:r>
        <w:rPr>
          <w:rFonts w:hint="eastAsia"/>
        </w:rPr>
        <w:t>成交人</w:t>
      </w:r>
      <w:r>
        <w:t>相关责任。合同期满后7日内</w:t>
      </w:r>
      <w:r>
        <w:rPr>
          <w:rFonts w:hint="eastAsia"/>
        </w:rPr>
        <w:t>成交人</w:t>
      </w:r>
      <w:r>
        <w:t>须结清全部应付账款，否则视为</w:t>
      </w:r>
      <w:r>
        <w:rPr>
          <w:rFonts w:hint="eastAsia"/>
        </w:rPr>
        <w:t>成交人</w:t>
      </w:r>
      <w:r>
        <w:t>违约并承担违约的责任。合同期内若</w:t>
      </w:r>
      <w:r>
        <w:rPr>
          <w:rFonts w:hint="eastAsia"/>
        </w:rPr>
        <w:t>成交人</w:t>
      </w:r>
      <w:r>
        <w:t>存在拖欠贷款或员工工资现象，医院有权暂停结算</w:t>
      </w:r>
      <w:r>
        <w:rPr>
          <w:rFonts w:hint="eastAsia"/>
        </w:rPr>
        <w:t>成交人</w:t>
      </w:r>
      <w:r>
        <w:t>营业款，直至</w:t>
      </w:r>
      <w:r>
        <w:rPr>
          <w:rFonts w:hint="eastAsia"/>
        </w:rPr>
        <w:t>成交人</w:t>
      </w:r>
      <w:r>
        <w:t>改正为止。</w:t>
      </w:r>
    </w:p>
    <w:p>
      <w:pPr>
        <w:spacing w:line="360" w:lineRule="auto"/>
        <w:ind w:firstLine="420" w:firstLineChars="200"/>
      </w:pPr>
      <w:r>
        <w:t>1</w:t>
      </w:r>
      <w:r>
        <w:rPr>
          <w:rFonts w:hint="eastAsia"/>
        </w:rPr>
        <w:t>1</w:t>
      </w:r>
      <w:r>
        <w:t>、</w:t>
      </w:r>
      <w:r>
        <w:rPr>
          <w:rFonts w:hint="eastAsia"/>
        </w:rPr>
        <w:t>成交人</w:t>
      </w:r>
      <w:r>
        <w:t>所有经营项目及经营品种必须按照采购要求开展不允许超范围经营，不得从事与餐饮无关的经营项目，不得在餐厅摆摊设点。未经医院批准，</w:t>
      </w:r>
      <w:r>
        <w:rPr>
          <w:rFonts w:hint="eastAsia"/>
        </w:rPr>
        <w:t>成交人</w:t>
      </w:r>
      <w:r>
        <w:t>不得私自对外经营。</w:t>
      </w:r>
    </w:p>
    <w:p>
      <w:pPr>
        <w:spacing w:line="360" w:lineRule="auto"/>
        <w:ind w:firstLine="420" w:firstLineChars="200"/>
      </w:pPr>
      <w:r>
        <w:t>1</w:t>
      </w:r>
      <w:r>
        <w:rPr>
          <w:rFonts w:hint="eastAsia"/>
        </w:rPr>
        <w:t>2</w:t>
      </w:r>
      <w:r>
        <w:t>、当遇到重大会议或竞赛接待任务时，</w:t>
      </w:r>
      <w:r>
        <w:rPr>
          <w:rFonts w:hint="eastAsia"/>
        </w:rPr>
        <w:t>成交人</w:t>
      </w:r>
      <w:r>
        <w:t>应从其他地方抽调人员，确保圆满完成接待任务。</w:t>
      </w:r>
    </w:p>
    <w:p>
      <w:pPr>
        <w:spacing w:line="360" w:lineRule="auto"/>
        <w:ind w:firstLine="420" w:firstLineChars="200"/>
      </w:pPr>
      <w:r>
        <w:t>1</w:t>
      </w:r>
      <w:r>
        <w:rPr>
          <w:rFonts w:hint="eastAsia"/>
        </w:rPr>
        <w:t>3</w:t>
      </w:r>
      <w:r>
        <w:t>、</w:t>
      </w:r>
      <w:r>
        <w:rPr>
          <w:rFonts w:hint="eastAsia"/>
        </w:rPr>
        <w:t>成交人</w:t>
      </w:r>
      <w:r>
        <w:t>购买保险金额200万元以上的食品安全责任险。</w:t>
      </w:r>
    </w:p>
    <w:p>
      <w:pPr>
        <w:spacing w:line="360" w:lineRule="auto"/>
        <w:ind w:firstLine="420" w:firstLineChars="200"/>
      </w:pPr>
      <w:r>
        <w:t>1</w:t>
      </w:r>
      <w:r>
        <w:rPr>
          <w:rFonts w:hint="eastAsia"/>
        </w:rPr>
        <w:t>4</w:t>
      </w:r>
      <w:r>
        <w:t>、食堂饭菜价格根据市场询价统一制定，并经</w:t>
      </w:r>
      <w:r>
        <w:rPr>
          <w:rFonts w:hint="eastAsia"/>
        </w:rPr>
        <w:t>采购人</w:t>
      </w:r>
      <w:r>
        <w:t>审核，原则上一年一定，</w:t>
      </w:r>
      <w:r>
        <w:rPr>
          <w:rFonts w:hint="eastAsia"/>
        </w:rPr>
        <w:t>成交人</w:t>
      </w:r>
      <w:r>
        <w:t>中途不得擅自更改，但医院可根据食堂经营情况适当调价。如遇市场物价出现大幅波动，食堂的伙食供应受到较大影响时，</w:t>
      </w:r>
      <w:r>
        <w:rPr>
          <w:rFonts w:hint="eastAsia"/>
        </w:rPr>
        <w:t>成交人</w:t>
      </w:r>
      <w:r>
        <w:t>需变动饭菜价格，必须书面报医院批准，经医院同意可作适当调整。经营方在经营中供应的所有品种均要求在经营窗口明码标价。</w:t>
      </w:r>
    </w:p>
    <w:p>
      <w:pPr>
        <w:spacing w:line="360" w:lineRule="auto"/>
        <w:ind w:firstLine="420" w:firstLineChars="200"/>
        <w:rPr>
          <w:rFonts w:hint="eastAsia"/>
          <w:highlight w:val="yellow"/>
        </w:rPr>
      </w:pPr>
      <w:r>
        <w:rPr>
          <w:rFonts w:hint="eastAsia"/>
          <w:highlight w:val="yellow"/>
        </w:rPr>
        <w:t>★15.中标人需无条件配合营养科制作营养配餐、治疗膳食（定价合理，可参考区内其他医院）。</w:t>
      </w:r>
    </w:p>
    <w:p>
      <w:pPr>
        <w:spacing w:line="360" w:lineRule="auto"/>
        <w:ind w:firstLine="420" w:firstLineChars="200"/>
        <w:rPr>
          <w:rFonts w:hint="eastAsia"/>
        </w:rPr>
      </w:pPr>
      <w:r>
        <w:t>★16.当采购人须根据国家采购扶贫地区农副产品的相关政策规定执行采购任务，成交人必须无条件配合采购人执行，</w:t>
      </w:r>
      <w:r>
        <w:rPr>
          <w:rFonts w:hint="eastAsia"/>
        </w:rPr>
        <w:t>具体采购任务及采购金额以有关部门下达文件为准。</w:t>
      </w:r>
    </w:p>
    <w:p>
      <w:pPr>
        <w:spacing w:line="360" w:lineRule="auto"/>
        <w:ind w:firstLine="420" w:firstLineChars="200"/>
        <w:rPr>
          <w:rFonts w:hint="eastAsia"/>
          <w:sz w:val="21"/>
          <w:szCs w:val="21"/>
          <w:highlight w:val="yellow"/>
        </w:rPr>
      </w:pPr>
    </w:p>
    <w:p>
      <w:pPr>
        <w:spacing w:line="360" w:lineRule="auto"/>
        <w:ind w:firstLine="422" w:firstLineChars="200"/>
        <w:rPr>
          <w:b/>
          <w:bCs/>
        </w:rPr>
      </w:pPr>
      <w:r>
        <w:rPr>
          <w:b/>
          <w:bCs/>
        </w:rPr>
        <w:t>（五）工作人员配备及管理要求</w:t>
      </w:r>
    </w:p>
    <w:p>
      <w:pPr>
        <w:spacing w:line="360" w:lineRule="auto"/>
        <w:ind w:firstLine="420" w:firstLineChars="200"/>
        <w:rPr>
          <w:highlight w:val="yellow"/>
        </w:rPr>
      </w:pPr>
      <w:r>
        <w:rPr>
          <w:highlight w:val="yellow"/>
        </w:rPr>
        <w:t>1、现场管理人员应具有食堂管理经验，所有从业人员应具有相应资质；</w:t>
      </w:r>
      <w:r>
        <w:rPr>
          <w:rFonts w:hint="eastAsia"/>
          <w:highlight w:val="yellow"/>
        </w:rPr>
        <w:t>成交人</w:t>
      </w:r>
      <w:r>
        <w:rPr>
          <w:highlight w:val="yellow"/>
        </w:rPr>
        <w:t>应配备具有较高水平的高资历厨师及业务娴熟的服务员。</w:t>
      </w:r>
    </w:p>
    <w:p>
      <w:pPr>
        <w:spacing w:line="360" w:lineRule="auto"/>
        <w:ind w:firstLine="420" w:firstLineChars="200"/>
        <w:rPr>
          <w:highlight w:val="yellow"/>
        </w:rPr>
      </w:pPr>
      <w:r>
        <w:rPr>
          <w:highlight w:val="yellow"/>
        </w:rPr>
        <w:t>★2、</w:t>
      </w:r>
      <w:r>
        <w:rPr>
          <w:rFonts w:hint="eastAsia"/>
          <w:highlight w:val="yellow"/>
        </w:rPr>
        <w:t>成交人</w:t>
      </w:r>
      <w:r>
        <w:rPr>
          <w:highlight w:val="yellow"/>
        </w:rPr>
        <w:t>必须具有饭菜订单配送业务，根据病人、医生、护士等需求进行配送，范围只限医院内。</w:t>
      </w:r>
    </w:p>
    <w:p>
      <w:pPr>
        <w:spacing w:line="360" w:lineRule="auto"/>
        <w:ind w:firstLine="420" w:firstLineChars="200"/>
      </w:pPr>
      <w:r>
        <w:t>3、</w:t>
      </w:r>
      <w:r>
        <w:rPr>
          <w:rFonts w:hint="eastAsia"/>
        </w:rPr>
        <w:t>成交人</w:t>
      </w:r>
      <w:r>
        <w:t>必须配备专职食品安全管理员，并提供其资格证书、身份证复印件等有效材料。</w:t>
      </w:r>
    </w:p>
    <w:p>
      <w:pPr>
        <w:spacing w:line="360" w:lineRule="auto"/>
        <w:ind w:firstLine="420" w:firstLineChars="200"/>
      </w:pPr>
      <w:r>
        <w:t>4、食堂员工由</w:t>
      </w:r>
      <w:r>
        <w:rPr>
          <w:rFonts w:hint="eastAsia"/>
        </w:rPr>
        <w:t>成交人</w:t>
      </w:r>
      <w:r>
        <w:t>自行招聘与管理，</w:t>
      </w:r>
      <w:r>
        <w:rPr>
          <w:rFonts w:hint="eastAsia"/>
        </w:rPr>
        <w:t>成交人</w:t>
      </w:r>
      <w:r>
        <w:t>要按照《劳动合同法》的要求与员工订立劳动合同并履行规定的义务。</w:t>
      </w:r>
      <w:r>
        <w:rPr>
          <w:rFonts w:hint="eastAsia"/>
        </w:rPr>
        <w:t>成交人</w:t>
      </w:r>
      <w:r>
        <w:t>应做好用工管理，严格遵守国家、自治区、桂林市有关用工法律法规及医院有关用工管理规定，承担员工的工资、福利、社会保险等费用；并按照相关规定和要求，加强对员工进行法律知识、食品卫生知识、食品加工操作卫生要求以及食品污染、中毒、肠道传染病预防等知识的教育和培训。医院有权对</w:t>
      </w:r>
      <w:r>
        <w:rPr>
          <w:rFonts w:hint="eastAsia"/>
        </w:rPr>
        <w:t>成交人</w:t>
      </w:r>
      <w:r>
        <w:t>的用工情况进行监督和检查，但不承担与</w:t>
      </w:r>
      <w:r>
        <w:rPr>
          <w:rFonts w:hint="eastAsia"/>
        </w:rPr>
        <w:t>成交人</w:t>
      </w:r>
      <w:r>
        <w:t>用工有关的任何连带法律责任。</w:t>
      </w:r>
    </w:p>
    <w:p>
      <w:pPr>
        <w:spacing w:line="360" w:lineRule="auto"/>
        <w:ind w:firstLine="420" w:firstLineChars="200"/>
      </w:pPr>
      <w:r>
        <w:t>5、</w:t>
      </w:r>
      <w:r>
        <w:rPr>
          <w:rFonts w:hint="eastAsia"/>
        </w:rPr>
        <w:t>成交人</w:t>
      </w:r>
      <w:r>
        <w:t>聘用的食堂从业人员必须持有健康证，身份证等相关证件，并建立相应管理档案，将从业人员以上证件复印件交总务科备案。</w:t>
      </w:r>
    </w:p>
    <w:p>
      <w:pPr>
        <w:spacing w:line="360" w:lineRule="auto"/>
        <w:ind w:firstLine="420" w:firstLineChars="200"/>
      </w:pPr>
      <w:r>
        <w:t>6、</w:t>
      </w:r>
      <w:r>
        <w:rPr>
          <w:rFonts w:hint="eastAsia"/>
        </w:rPr>
        <w:t>成交人</w:t>
      </w:r>
      <w:r>
        <w:t>工作人员必须取得《健康证》后方可上肉，严格执行一年一检，由医院总务科统一安排，费用由</w:t>
      </w:r>
      <w:r>
        <w:rPr>
          <w:rFonts w:hint="eastAsia"/>
        </w:rPr>
        <w:t>成交人</w:t>
      </w:r>
      <w:r>
        <w:t>自理。</w:t>
      </w:r>
      <w:r>
        <w:rPr>
          <w:rFonts w:hint="eastAsia"/>
        </w:rPr>
        <w:t>成交人</w:t>
      </w:r>
      <w:r>
        <w:t>严格执行《饮食服务食品安全操作规范》规定的对餐饮服务从业人员的要求。</w:t>
      </w:r>
    </w:p>
    <w:p>
      <w:pPr>
        <w:spacing w:line="360" w:lineRule="auto"/>
        <w:ind w:firstLine="422" w:firstLineChars="200"/>
        <w:jc w:val="left"/>
        <w:rPr>
          <w:b/>
          <w:bCs/>
        </w:rPr>
      </w:pPr>
      <w:r>
        <w:rPr>
          <w:b/>
          <w:bCs/>
        </w:rPr>
        <w:t>（六）菜品要求与定价</w:t>
      </w:r>
    </w:p>
    <w:p>
      <w:pPr>
        <w:spacing w:line="360" w:lineRule="auto"/>
        <w:ind w:firstLine="420" w:firstLineChars="200"/>
        <w:jc w:val="left"/>
        <w:rPr>
          <w:highlight w:val="yellow"/>
        </w:rPr>
      </w:pPr>
      <w:r>
        <w:t>1</w:t>
      </w:r>
      <w:r>
        <w:rPr>
          <w:highlight w:val="yellow"/>
        </w:rPr>
        <w:t>、菜品要求</w:t>
      </w:r>
    </w:p>
    <w:p>
      <w:pPr>
        <w:spacing w:line="360" w:lineRule="auto"/>
        <w:ind w:firstLine="420" w:firstLineChars="200"/>
        <w:rPr>
          <w:rFonts w:hint="eastAsia"/>
          <w:highlight w:val="yellow"/>
        </w:rPr>
      </w:pPr>
      <w:r>
        <w:rPr>
          <w:rFonts w:hint="eastAsia"/>
          <w:highlight w:val="yellow"/>
        </w:rPr>
        <w:t>成交人</w:t>
      </w:r>
      <w:r>
        <w:rPr>
          <w:highlight w:val="yellow"/>
        </w:rPr>
        <w:t>每餐必须提供免费汤水，早餐供餐品种主要为米粉类、粥类</w:t>
      </w:r>
      <w:r>
        <w:rPr>
          <w:rFonts w:hint="eastAsia"/>
          <w:highlight w:val="yellow"/>
        </w:rPr>
        <w:t>、面点类</w:t>
      </w:r>
      <w:r>
        <w:rPr>
          <w:highlight w:val="yellow"/>
        </w:rPr>
        <w:t>；中、晚餐为大众伙食。</w:t>
      </w:r>
      <w:r>
        <w:rPr>
          <w:rFonts w:hint="eastAsia"/>
          <w:highlight w:val="yellow"/>
        </w:rPr>
        <w:t>成交人根据供应实际情况自行</w:t>
      </w:r>
      <w:r>
        <w:rPr>
          <w:highlight w:val="yellow"/>
        </w:rPr>
        <w:t>合理搭配高中低价菜品</w:t>
      </w:r>
      <w:r>
        <w:rPr>
          <w:rFonts w:hint="eastAsia"/>
          <w:highlight w:val="yellow"/>
        </w:rPr>
        <w:t>。</w:t>
      </w:r>
    </w:p>
    <w:p>
      <w:pPr>
        <w:spacing w:line="360" w:lineRule="auto"/>
        <w:ind w:firstLine="420" w:firstLineChars="200"/>
        <w:rPr>
          <w:highlight w:val="yellow"/>
        </w:rPr>
      </w:pPr>
      <w:r>
        <w:rPr>
          <w:highlight w:val="yellow"/>
        </w:rPr>
        <w:t>2、菜品定价</w:t>
      </w:r>
    </w:p>
    <w:p>
      <w:pPr>
        <w:spacing w:line="360" w:lineRule="auto"/>
        <w:ind w:firstLine="420" w:firstLineChars="200"/>
        <w:rPr>
          <w:highlight w:val="yellow"/>
        </w:rPr>
      </w:pPr>
      <w:r>
        <w:rPr>
          <w:rFonts w:hint="eastAsia"/>
          <w:highlight w:val="yellow"/>
        </w:rPr>
        <w:t>（1）成交人</w:t>
      </w:r>
      <w:r>
        <w:rPr>
          <w:highlight w:val="yellow"/>
        </w:rPr>
        <w:t>在</w:t>
      </w:r>
      <w:r>
        <w:rPr>
          <w:rFonts w:hint="eastAsia"/>
          <w:highlight w:val="yellow"/>
        </w:rPr>
        <w:t>响应文件</w:t>
      </w:r>
      <w:r>
        <w:rPr>
          <w:highlight w:val="yellow"/>
        </w:rPr>
        <w:t>中提供方案，含菜品种类及其定价方案，菜色按季节交替变换。</w:t>
      </w:r>
    </w:p>
    <w:p>
      <w:pPr>
        <w:spacing w:line="360" w:lineRule="auto"/>
        <w:ind w:firstLine="420" w:firstLineChars="200"/>
        <w:rPr>
          <w:highlight w:val="yellow"/>
        </w:rPr>
      </w:pPr>
      <w:r>
        <w:rPr>
          <w:rFonts w:hint="eastAsia"/>
          <w:highlight w:val="yellow"/>
        </w:rPr>
        <w:t>（2）成交人</w:t>
      </w:r>
      <w:r>
        <w:rPr>
          <w:highlight w:val="yellow"/>
        </w:rPr>
        <w:t>结合桂林市的生活实际变换菜品菜色，变换菜品菜色前需将变换的菜品菜色报送医院审核定价，否则不允许售卖。</w:t>
      </w:r>
    </w:p>
    <w:p>
      <w:pPr>
        <w:spacing w:line="360" w:lineRule="auto"/>
        <w:ind w:firstLine="420" w:firstLineChars="200"/>
        <w:rPr>
          <w:highlight w:val="yellow"/>
        </w:rPr>
      </w:pPr>
      <w:r>
        <w:rPr>
          <w:rFonts w:hint="eastAsia"/>
          <w:highlight w:val="yellow"/>
        </w:rPr>
        <w:t>（3）成交人</w:t>
      </w:r>
      <w:r>
        <w:rPr>
          <w:highlight w:val="yellow"/>
        </w:rPr>
        <w:t>应科学规范成本核算，确保食堂饭菜价格上不得高于</w:t>
      </w:r>
      <w:r>
        <w:rPr>
          <w:color w:val="C00000"/>
        </w:rPr>
        <w:t>桂林其他</w:t>
      </w:r>
      <w:ins w:id="0" w:author="张凯" w:date="2021-12-06T17:56:00Z">
        <w:r>
          <w:rPr>
            <w:rFonts w:hint="eastAsia"/>
            <w:color w:val="C00000"/>
          </w:rPr>
          <w:t>医院</w:t>
        </w:r>
      </w:ins>
      <w:r>
        <w:rPr>
          <w:highlight w:val="yellow"/>
        </w:rPr>
        <w:t>餐饮价格。饭菜份量应该量化</w:t>
      </w:r>
      <w:r>
        <w:rPr>
          <w:rFonts w:hint="eastAsia"/>
          <w:highlight w:val="yellow"/>
        </w:rPr>
        <w:t>并</w:t>
      </w:r>
      <w:r>
        <w:rPr>
          <w:highlight w:val="yellow"/>
        </w:rPr>
        <w:t>给足份量。</w:t>
      </w:r>
    </w:p>
    <w:p>
      <w:pPr>
        <w:spacing w:line="360" w:lineRule="auto"/>
        <w:ind w:firstLine="420" w:firstLineChars="200"/>
        <w:rPr>
          <w:highlight w:val="yellow"/>
        </w:rPr>
      </w:pPr>
      <w:r>
        <w:rPr>
          <w:rFonts w:hint="eastAsia"/>
          <w:highlight w:val="yellow"/>
        </w:rPr>
        <w:t>★</w:t>
      </w:r>
      <w:r>
        <w:rPr>
          <w:highlight w:val="yellow"/>
        </w:rPr>
        <w:t>（4）职工用餐给予优惠。</w:t>
      </w:r>
    </w:p>
    <w:p>
      <w:pPr>
        <w:pStyle w:val="2"/>
      </w:pPr>
      <w:r>
        <w:rPr>
          <w:rFonts w:hint="eastAsia"/>
          <w:highlight w:val="yellow"/>
        </w:rPr>
        <w:t>★</w:t>
      </w:r>
      <w:r>
        <w:rPr>
          <w:rFonts w:hint="eastAsia"/>
          <w:highlight w:val="yellow"/>
          <w:lang w:val="en-US" w:eastAsia="zh-CN"/>
        </w:rPr>
        <w:t>3、</w:t>
      </w:r>
      <w:r>
        <w:rPr>
          <w:rFonts w:hint="eastAsia" w:ascii="宋体" w:hAnsi="宋体" w:eastAsia="宋体" w:cs="宋体"/>
          <w:sz w:val="21"/>
          <w:szCs w:val="21"/>
          <w:highlight w:val="yellow"/>
          <w:lang w:eastAsia="zh-CN"/>
        </w:rPr>
        <w:t>医院定期有餐补，餐补只允许在食堂就餐、购买农副产品等，</w:t>
      </w:r>
      <w:r>
        <w:rPr>
          <w:rFonts w:hint="eastAsia" w:ascii="宋体" w:hAnsi="宋体" w:cs="宋体"/>
          <w:sz w:val="21"/>
          <w:szCs w:val="21"/>
          <w:highlight w:val="yellow"/>
          <w:lang w:eastAsia="zh-CN"/>
        </w:rPr>
        <w:t>价格不得高于周边超市售价。</w:t>
      </w:r>
      <w:r>
        <w:rPr>
          <w:rFonts w:hint="eastAsia" w:ascii="宋体" w:hAnsi="宋体" w:eastAsia="宋体" w:cs="宋体"/>
          <w:sz w:val="21"/>
          <w:szCs w:val="21"/>
          <w:highlight w:val="yellow"/>
          <w:lang w:eastAsia="zh-CN"/>
        </w:rPr>
        <w:t>禁止</w:t>
      </w:r>
      <w:r>
        <w:rPr>
          <w:rFonts w:hint="eastAsia" w:ascii="宋体" w:hAnsi="宋体" w:eastAsia="宋体" w:cs="宋体"/>
          <w:sz w:val="21"/>
          <w:szCs w:val="21"/>
          <w:highlight w:val="yellow"/>
          <w:lang w:val="zh-CN"/>
        </w:rPr>
        <w:t>经营场所不得销售香烟、酒、医疗器械、医疗耗材、保健品、药品、假冒伪劣产品等</w:t>
      </w:r>
      <w:r>
        <w:rPr>
          <w:rFonts w:hint="eastAsia" w:ascii="宋体" w:hAnsi="宋体" w:eastAsia="宋体" w:cs="宋体"/>
          <w:sz w:val="21"/>
          <w:szCs w:val="21"/>
          <w:highlight w:val="yellow"/>
        </w:rPr>
        <w:t>。</w:t>
      </w:r>
    </w:p>
    <w:p>
      <w:pPr>
        <w:spacing w:line="360" w:lineRule="auto"/>
        <w:ind w:firstLine="422" w:firstLineChars="200"/>
        <w:rPr>
          <w:b/>
          <w:bCs/>
        </w:rPr>
      </w:pPr>
      <w:r>
        <w:rPr>
          <w:b/>
          <w:bCs/>
        </w:rPr>
        <w:t>（七）经营策划方案要求</w:t>
      </w:r>
    </w:p>
    <w:p>
      <w:pPr>
        <w:spacing w:line="360" w:lineRule="auto"/>
        <w:ind w:firstLine="420" w:firstLineChars="200"/>
        <w:rPr>
          <w:highlight w:val="yellow"/>
        </w:rPr>
      </w:pPr>
      <w:r>
        <w:rPr>
          <w:rFonts w:hint="eastAsia"/>
          <w:highlight w:val="yellow"/>
        </w:rPr>
        <w:t>成交人</w:t>
      </w:r>
      <w:r>
        <w:rPr>
          <w:highlight w:val="yellow"/>
        </w:rPr>
        <w:t>需要提供经营规划思路说明；经营管理模式及管理制度、机构组成等；合理利润的产生及管理费用完成的可行性分析，提高服务质量的有效手段。</w:t>
      </w:r>
    </w:p>
    <w:p>
      <w:pPr>
        <w:spacing w:line="360" w:lineRule="auto"/>
        <w:ind w:firstLine="422" w:firstLineChars="200"/>
        <w:rPr>
          <w:b/>
          <w:bCs/>
        </w:rPr>
      </w:pPr>
      <w:r>
        <w:rPr>
          <w:b/>
          <w:bCs/>
        </w:rPr>
        <w:t>（八）场地装修改造要求</w:t>
      </w:r>
    </w:p>
    <w:p>
      <w:pPr>
        <w:spacing w:line="360" w:lineRule="auto"/>
        <w:ind w:firstLine="420" w:firstLineChars="200"/>
        <w:rPr>
          <w:highlight w:val="yellow"/>
        </w:rPr>
      </w:pPr>
      <w:r>
        <w:rPr>
          <w:rFonts w:hint="eastAsia"/>
          <w:highlight w:val="yellow"/>
        </w:rPr>
        <w:t>成交人可根据经营情况及</w:t>
      </w:r>
      <w:r>
        <w:rPr>
          <w:highlight w:val="yellow"/>
        </w:rPr>
        <w:t>食堂经营定位，</w:t>
      </w:r>
      <w:r>
        <w:rPr>
          <w:rFonts w:hint="eastAsia"/>
          <w:highlight w:val="yellow"/>
        </w:rPr>
        <w:t>自行</w:t>
      </w:r>
      <w:r>
        <w:rPr>
          <w:highlight w:val="yellow"/>
        </w:rPr>
        <w:t>对所投标段的食堂进行升级改造。</w:t>
      </w:r>
      <w:r>
        <w:rPr>
          <w:rFonts w:hint="eastAsia"/>
          <w:highlight w:val="yellow"/>
        </w:rPr>
        <w:t>成交人</w:t>
      </w:r>
      <w:r>
        <w:rPr>
          <w:highlight w:val="yellow"/>
        </w:rPr>
        <w:t>负责食堂内部升级改造和设备购置。</w:t>
      </w:r>
    </w:p>
    <w:p>
      <w:pPr>
        <w:spacing w:line="360" w:lineRule="auto"/>
        <w:ind w:firstLine="420" w:firstLineChars="200"/>
        <w:rPr>
          <w:highlight w:val="yellow"/>
        </w:rPr>
      </w:pPr>
      <w:r>
        <w:rPr>
          <w:highlight w:val="yellow"/>
        </w:rPr>
        <w:t>1、整体装修：</w:t>
      </w:r>
      <w:r>
        <w:rPr>
          <w:rFonts w:hint="eastAsia"/>
          <w:highlight w:val="yellow"/>
        </w:rPr>
        <w:t>成交人在</w:t>
      </w:r>
      <w:r>
        <w:rPr>
          <w:highlight w:val="yellow"/>
        </w:rPr>
        <w:t>中标后</w:t>
      </w:r>
      <w:r>
        <w:rPr>
          <w:rFonts w:hint="eastAsia"/>
          <w:highlight w:val="yellow"/>
        </w:rPr>
        <w:t>可</w:t>
      </w:r>
      <w:r>
        <w:rPr>
          <w:highlight w:val="yellow"/>
        </w:rPr>
        <w:t>根据</w:t>
      </w:r>
      <w:r>
        <w:rPr>
          <w:rFonts w:hint="eastAsia"/>
          <w:highlight w:val="yellow"/>
        </w:rPr>
        <w:t>采购人</w:t>
      </w:r>
      <w:r>
        <w:rPr>
          <w:highlight w:val="yellow"/>
        </w:rPr>
        <w:t>提供的医院食堂</w:t>
      </w:r>
      <w:r>
        <w:rPr>
          <w:rFonts w:hint="eastAsia"/>
          <w:highlight w:val="yellow"/>
        </w:rPr>
        <w:t>平面图</w:t>
      </w:r>
      <w:r>
        <w:rPr>
          <w:highlight w:val="yellow"/>
        </w:rPr>
        <w:t>对医院食堂进行装修改造</w:t>
      </w:r>
      <w:r>
        <w:rPr>
          <w:rFonts w:hint="eastAsia"/>
          <w:highlight w:val="yellow"/>
        </w:rPr>
        <w:t>（不得改变主体结构）</w:t>
      </w:r>
      <w:r>
        <w:rPr>
          <w:highlight w:val="yellow"/>
        </w:rPr>
        <w:t>，</w:t>
      </w:r>
      <w:r>
        <w:rPr>
          <w:rFonts w:hint="eastAsia"/>
          <w:highlight w:val="yellow"/>
        </w:rPr>
        <w:t>但</w:t>
      </w:r>
      <w:r>
        <w:rPr>
          <w:highlight w:val="yellow"/>
        </w:rPr>
        <w:t>装修改造方案须经</w:t>
      </w:r>
      <w:r>
        <w:rPr>
          <w:rFonts w:hint="eastAsia"/>
          <w:highlight w:val="yellow"/>
        </w:rPr>
        <w:t>采购人</w:t>
      </w:r>
      <w:r>
        <w:rPr>
          <w:highlight w:val="yellow"/>
        </w:rPr>
        <w:t>审批通过</w:t>
      </w:r>
      <w:r>
        <w:rPr>
          <w:rFonts w:hint="eastAsia"/>
          <w:highlight w:val="yellow"/>
        </w:rPr>
        <w:t>后方可实施</w:t>
      </w:r>
      <w:r>
        <w:rPr>
          <w:highlight w:val="yellow"/>
        </w:rPr>
        <w:t>，装修所产生的费用由</w:t>
      </w:r>
      <w:r>
        <w:rPr>
          <w:rFonts w:hint="eastAsia"/>
          <w:highlight w:val="yellow"/>
        </w:rPr>
        <w:t>成交人</w:t>
      </w:r>
      <w:r>
        <w:rPr>
          <w:highlight w:val="yellow"/>
        </w:rPr>
        <w:t>承担。</w:t>
      </w:r>
    </w:p>
    <w:p>
      <w:pPr>
        <w:spacing w:line="360" w:lineRule="auto"/>
        <w:ind w:firstLine="420" w:firstLineChars="200"/>
        <w:rPr>
          <w:highlight w:val="yellow"/>
        </w:rPr>
      </w:pPr>
      <w:r>
        <w:rPr>
          <w:highlight w:val="yellow"/>
        </w:rPr>
        <w:t>2、局部装修：</w:t>
      </w:r>
      <w:r>
        <w:rPr>
          <w:rFonts w:hint="eastAsia"/>
          <w:highlight w:val="yellow"/>
        </w:rPr>
        <w:t>成交人</w:t>
      </w:r>
      <w:r>
        <w:rPr>
          <w:highlight w:val="yellow"/>
        </w:rPr>
        <w:t>可根据</w:t>
      </w:r>
      <w:r>
        <w:rPr>
          <w:rFonts w:hint="eastAsia"/>
          <w:highlight w:val="yellow"/>
        </w:rPr>
        <w:t>自己的</w:t>
      </w:r>
      <w:r>
        <w:rPr>
          <w:highlight w:val="yellow"/>
        </w:rPr>
        <w:t>经营方案，进行局部优化，添置相关设备设施，优化提升环境。</w:t>
      </w:r>
    </w:p>
    <w:p>
      <w:pPr>
        <w:spacing w:line="360" w:lineRule="auto"/>
        <w:ind w:firstLine="420" w:firstLineChars="200"/>
      </w:pPr>
      <w:r>
        <w:rPr>
          <w:rFonts w:hint="eastAsia"/>
        </w:rPr>
        <w:t>3</w:t>
      </w:r>
      <w:r>
        <w:t>、其他要求：</w:t>
      </w:r>
    </w:p>
    <w:p>
      <w:pPr>
        <w:spacing w:line="360" w:lineRule="auto"/>
        <w:ind w:firstLine="420" w:firstLineChars="200"/>
        <w:rPr>
          <w:highlight w:val="yellow"/>
        </w:rPr>
      </w:pPr>
      <w:r>
        <w:rPr>
          <w:rFonts w:hint="eastAsia"/>
          <w:highlight w:val="yellow"/>
        </w:rPr>
        <w:t>（1）</w:t>
      </w:r>
      <w:r>
        <w:rPr>
          <w:highlight w:val="yellow"/>
        </w:rPr>
        <w:t>医院食堂投入使用年限较长，</w:t>
      </w:r>
      <w:r>
        <w:rPr>
          <w:rFonts w:hint="eastAsia"/>
          <w:highlight w:val="yellow"/>
        </w:rPr>
        <w:t>成交人可根据实际场地情况</w:t>
      </w:r>
      <w:r>
        <w:rPr>
          <w:highlight w:val="yellow"/>
        </w:rPr>
        <w:t>，按照食品安全要求进行完善改造，优化提升环境。</w:t>
      </w:r>
    </w:p>
    <w:p>
      <w:pPr>
        <w:spacing w:line="360" w:lineRule="auto"/>
        <w:ind w:firstLine="420" w:firstLineChars="200"/>
        <w:rPr>
          <w:highlight w:val="yellow"/>
        </w:rPr>
      </w:pPr>
      <w:r>
        <w:rPr>
          <w:rFonts w:hint="eastAsia"/>
          <w:highlight w:val="yellow"/>
        </w:rPr>
        <w:t>（2）</w:t>
      </w:r>
      <w:r>
        <w:rPr>
          <w:highlight w:val="yellow"/>
        </w:rPr>
        <w:t>根据无水食堂要求，对操作间给排水及设备、设施进行改造；安装有油烟净化器；根据经营内容对操作间照明及用电线路改造；食堂操作区无人值守的出入口安装有门禁系统；操作间、售卖间等区域吊顶优化改造；完善安全监控系统；视频设备安装；就餐大厅环境优雅，布局合理。</w:t>
      </w:r>
    </w:p>
    <w:p>
      <w:pPr>
        <w:spacing w:line="360" w:lineRule="auto"/>
        <w:ind w:firstLine="420" w:firstLineChars="200"/>
        <w:rPr>
          <w:highlight w:val="yellow"/>
        </w:rPr>
      </w:pPr>
      <w:r>
        <w:rPr>
          <w:rFonts w:hint="eastAsia"/>
          <w:highlight w:val="yellow"/>
        </w:rPr>
        <w:t>（3）</w:t>
      </w:r>
      <w:r>
        <w:rPr>
          <w:highlight w:val="yellow"/>
        </w:rPr>
        <w:t>食堂平面图，图上需标注厨房设备布置、各功能间布局，外观及内部改造效果图（就餐区、加工区等）。</w:t>
      </w:r>
    </w:p>
    <w:p>
      <w:pPr>
        <w:spacing w:line="360" w:lineRule="auto"/>
        <w:ind w:firstLine="420" w:firstLineChars="200"/>
        <w:rPr>
          <w:highlight w:val="yellow"/>
        </w:rPr>
      </w:pPr>
      <w:r>
        <w:rPr>
          <w:rFonts w:hint="eastAsia"/>
          <w:highlight w:val="yellow"/>
        </w:rPr>
        <w:t>（4）</w:t>
      </w:r>
      <w:r>
        <w:rPr>
          <w:highlight w:val="yellow"/>
        </w:rPr>
        <w:t>装修改造说明：不允许改动建筑物外观、内部隔墙；</w:t>
      </w:r>
      <w:r>
        <w:rPr>
          <w:rFonts w:hint="eastAsia"/>
          <w:highlight w:val="yellow"/>
          <w:lang w:eastAsia="zh-CN"/>
        </w:rPr>
        <w:t>对</w:t>
      </w:r>
      <w:r>
        <w:rPr>
          <w:highlight w:val="yellow"/>
        </w:rPr>
        <w:t>已有消防设施</w:t>
      </w:r>
      <w:r>
        <w:rPr>
          <w:rFonts w:hint="eastAsia"/>
          <w:highlight w:val="yellow"/>
          <w:lang w:eastAsia="zh-CN"/>
        </w:rPr>
        <w:t>需进行检修</w:t>
      </w:r>
      <w:r>
        <w:rPr>
          <w:highlight w:val="yellow"/>
        </w:rPr>
        <w:t>、</w:t>
      </w:r>
      <w:r>
        <w:rPr>
          <w:rFonts w:hint="eastAsia"/>
          <w:highlight w:val="yellow"/>
          <w:lang w:eastAsia="zh-CN"/>
        </w:rPr>
        <w:t>延保等，不符合消防要求的位置进行整改；</w:t>
      </w:r>
      <w:r>
        <w:rPr>
          <w:highlight w:val="yellow"/>
        </w:rPr>
        <w:t>厨房设备建议采用304不锈钢材质，使用请洁环保能源，禁止使用煤做燃料。</w:t>
      </w:r>
    </w:p>
    <w:p>
      <w:pPr>
        <w:spacing w:line="360" w:lineRule="auto"/>
        <w:ind w:firstLine="422" w:firstLineChars="200"/>
        <w:rPr>
          <w:b/>
          <w:bCs/>
        </w:rPr>
      </w:pPr>
      <w:r>
        <w:rPr>
          <w:b/>
          <w:bCs/>
        </w:rPr>
        <w:t>(九）考核制度：</w:t>
      </w:r>
    </w:p>
    <w:p>
      <w:pPr>
        <w:spacing w:line="360" w:lineRule="auto"/>
        <w:ind w:firstLine="420" w:firstLineChars="200"/>
      </w:pPr>
      <w:r>
        <w:rPr>
          <w:rFonts w:hint="eastAsia"/>
        </w:rPr>
        <w:t>（1）采购人</w:t>
      </w:r>
      <w:r>
        <w:t>制定考核办法，对中标的服务</w:t>
      </w:r>
      <w:r>
        <w:rPr>
          <w:rFonts w:hint="eastAsia"/>
        </w:rPr>
        <w:t>成交人</w:t>
      </w:r>
      <w:r>
        <w:t>实施量化考核，同时实施动态退出机制。</w:t>
      </w:r>
    </w:p>
    <w:p>
      <w:pPr>
        <w:spacing w:line="360" w:lineRule="auto"/>
        <w:ind w:firstLine="420" w:firstLineChars="200"/>
      </w:pPr>
      <w:r>
        <w:rPr>
          <w:rFonts w:hint="eastAsia"/>
        </w:rPr>
        <w:t>（2）</w:t>
      </w:r>
      <w:r>
        <w:t>属于下列情况之一的，</w:t>
      </w:r>
      <w:r>
        <w:rPr>
          <w:rFonts w:hint="eastAsia"/>
        </w:rPr>
        <w:t>采购人</w:t>
      </w:r>
      <w:r>
        <w:t>有权解除合同或责令整顿，具体为：</w:t>
      </w:r>
    </w:p>
    <w:p>
      <w:pPr>
        <w:spacing w:line="360" w:lineRule="auto"/>
        <w:ind w:firstLine="420" w:firstLineChars="200"/>
      </w:pPr>
      <w:r>
        <w:rPr>
          <w:rFonts w:hint="eastAsia"/>
        </w:rPr>
        <w:t>（3）</w:t>
      </w:r>
      <w:r>
        <w:t>拒不承接甲方委托的采购订单的；</w:t>
      </w:r>
    </w:p>
    <w:p>
      <w:pPr>
        <w:spacing w:line="360" w:lineRule="auto"/>
        <w:ind w:firstLine="420" w:firstLineChars="200"/>
      </w:pPr>
      <w:r>
        <w:rPr>
          <w:rFonts w:hint="eastAsia"/>
        </w:rPr>
        <w:t>（4）</w:t>
      </w:r>
      <w:r>
        <w:t>菜品品质等达不到</w:t>
      </w:r>
      <w:r>
        <w:rPr>
          <w:rFonts w:hint="eastAsia"/>
        </w:rPr>
        <w:t>采购人</w:t>
      </w:r>
      <w:r>
        <w:t>要求的；</w:t>
      </w:r>
    </w:p>
    <w:p>
      <w:pPr>
        <w:spacing w:line="360" w:lineRule="auto"/>
        <w:ind w:firstLine="420" w:firstLineChars="200"/>
      </w:pPr>
      <w:r>
        <w:rPr>
          <w:rFonts w:hint="eastAsia"/>
        </w:rPr>
        <w:t>（5）</w:t>
      </w:r>
      <w:r>
        <w:t>无不可抗力因素或客观理由的，未按</w:t>
      </w:r>
      <w:r>
        <w:rPr>
          <w:rFonts w:hint="eastAsia"/>
        </w:rPr>
        <w:t>采购人</w:t>
      </w:r>
      <w:r>
        <w:t>要求如期完成服务任务的；</w:t>
      </w:r>
    </w:p>
    <w:p>
      <w:pPr>
        <w:spacing w:line="360" w:lineRule="auto"/>
        <w:ind w:firstLine="420" w:firstLineChars="200"/>
      </w:pPr>
      <w:r>
        <w:rPr>
          <w:rFonts w:hint="eastAsia"/>
        </w:rPr>
        <w:t>（6）</w:t>
      </w:r>
      <w:r>
        <w:t>服务质量差，三次被服务对象投诉的；</w:t>
      </w:r>
    </w:p>
    <w:p>
      <w:pPr>
        <w:spacing w:line="360" w:lineRule="auto"/>
        <w:ind w:firstLine="420" w:firstLineChars="200"/>
      </w:pPr>
      <w:r>
        <w:rPr>
          <w:rFonts w:hint="eastAsia"/>
        </w:rPr>
        <w:t>（7）</w:t>
      </w:r>
      <w:r>
        <w:t>拒不承接病人、医生、护士等饭菜订单业务的。</w:t>
      </w:r>
    </w:p>
    <w:p>
      <w:pPr>
        <w:spacing w:line="360" w:lineRule="auto"/>
        <w:ind w:firstLine="420" w:firstLineChars="200"/>
      </w:pPr>
      <w:r>
        <w:rPr>
          <w:rFonts w:hint="eastAsia"/>
        </w:rPr>
        <w:t>（8）</w:t>
      </w:r>
      <w:r>
        <w:t>处罚</w:t>
      </w:r>
      <w:r>
        <w:rPr>
          <w:rFonts w:hint="eastAsia"/>
        </w:rPr>
        <w:t>：采购人</w:t>
      </w:r>
      <w:r>
        <w:t>抽查发现菜品品质差或分量不足，达到两次的，处以2000元罚款；</w:t>
      </w:r>
    </w:p>
    <w:p>
      <w:pPr>
        <w:spacing w:line="360" w:lineRule="auto"/>
        <w:ind w:firstLine="422" w:firstLineChars="200"/>
        <w:rPr>
          <w:b/>
          <w:bCs/>
        </w:rPr>
      </w:pPr>
      <w:r>
        <w:rPr>
          <w:b/>
          <w:bCs/>
        </w:rPr>
        <w:t>（十）合同授予标准</w:t>
      </w:r>
    </w:p>
    <w:p>
      <w:pPr>
        <w:spacing w:line="360" w:lineRule="auto"/>
        <w:ind w:firstLine="420" w:firstLineChars="200"/>
      </w:pPr>
      <w:r>
        <w:t>1、合同将授予被确定为实质上响应招标文件要求，经评标认为具备履行合同义务条件、综合得分最高的供应商。</w:t>
      </w:r>
    </w:p>
    <w:p>
      <w:pPr>
        <w:spacing w:line="360" w:lineRule="auto"/>
        <w:ind w:firstLine="420" w:firstLineChars="200"/>
      </w:pPr>
      <w:r>
        <w:t>2、签订合同</w:t>
      </w:r>
    </w:p>
    <w:p>
      <w:pPr>
        <w:spacing w:line="360" w:lineRule="auto"/>
        <w:ind w:firstLine="420" w:firstLineChars="200"/>
      </w:pPr>
      <w:r>
        <w:rPr>
          <w:rFonts w:hint="eastAsia"/>
        </w:rPr>
        <w:t>（1）成交人</w:t>
      </w:r>
      <w:r>
        <w:t>收到</w:t>
      </w:r>
      <w:r>
        <w:rPr>
          <w:rFonts w:hint="eastAsia"/>
        </w:rPr>
        <w:t>成交通知书</w:t>
      </w:r>
      <w:r>
        <w:t>后，需带“法人营业执照”副本（原件）以及授权委托书（原件）到总务科验证后，方可按</w:t>
      </w:r>
      <w:r>
        <w:rPr>
          <w:rFonts w:hint="eastAsia"/>
        </w:rPr>
        <w:t>成交</w:t>
      </w:r>
      <w:r>
        <w:t>通知规定的时间、地点与采购方签订合同，否则视为违约，采购方将有权取消该中标决定，同时有权将该标依序授予其他中标候选人。</w:t>
      </w:r>
    </w:p>
    <w:p>
      <w:pPr>
        <w:spacing w:line="360" w:lineRule="auto"/>
        <w:ind w:firstLine="420" w:firstLineChars="200"/>
      </w:pPr>
      <w:r>
        <w:rPr>
          <w:rFonts w:hint="eastAsia"/>
        </w:rPr>
        <w:t>（2）</w:t>
      </w:r>
      <w:r>
        <w:t>如</w:t>
      </w:r>
      <w:r>
        <w:rPr>
          <w:rFonts w:hint="eastAsia"/>
        </w:rPr>
        <w:t>成交人</w:t>
      </w:r>
      <w:r>
        <w:t>拒签</w:t>
      </w:r>
      <w:r>
        <w:rPr>
          <w:rFonts w:hint="eastAsia"/>
        </w:rPr>
        <w:t>合同</w:t>
      </w:r>
      <w:r>
        <w:t>，则按根本违约处理。</w:t>
      </w:r>
    </w:p>
    <w:p>
      <w:pPr>
        <w:spacing w:line="360" w:lineRule="auto"/>
        <w:ind w:firstLine="420" w:firstLineChars="200"/>
      </w:pPr>
      <w:r>
        <w:rPr>
          <w:rFonts w:hint="eastAsia"/>
        </w:rPr>
        <w:t>（3）成交人</w:t>
      </w:r>
      <w:r>
        <w:t>签订合同后不得擅自将合同义务转让第三人，也不得将项目分解后转让他人，如经查实有上述现象者，将视为根本违约。</w:t>
      </w:r>
    </w:p>
    <w:p>
      <w:pPr>
        <w:widowControl/>
        <w:spacing w:line="360" w:lineRule="auto"/>
        <w:ind w:firstLine="420"/>
        <w:jc w:val="left"/>
        <w:rPr>
          <w:rFonts w:hint="eastAsia" w:ascii="宋体" w:hAnsi="宋体" w:cs="宋体"/>
          <w:sz w:val="21"/>
          <w:szCs w:val="21"/>
        </w:rPr>
      </w:pPr>
      <w:r>
        <w:rPr>
          <w:rFonts w:hint="eastAsia" w:ascii="宋体" w:hAnsi="宋体" w:cs="宋体"/>
          <w:sz w:val="21"/>
          <w:szCs w:val="21"/>
        </w:rPr>
        <w:br w:type="page"/>
      </w:r>
    </w:p>
    <w:p>
      <w:pPr>
        <w:widowControl/>
        <w:spacing w:line="360" w:lineRule="auto"/>
        <w:ind w:firstLine="420"/>
        <w:jc w:val="center"/>
        <w:rPr>
          <w:rFonts w:hint="eastAsia" w:ascii="宋体" w:hAnsi="宋体" w:eastAsia="宋体" w:cs="宋体"/>
          <w:b/>
          <w:bCs/>
          <w:sz w:val="52"/>
          <w:szCs w:val="52"/>
          <w:lang w:eastAsia="zh-CN"/>
        </w:rPr>
      </w:pPr>
      <w:r>
        <w:rPr>
          <w:rFonts w:hint="eastAsia" w:ascii="宋体" w:hAnsi="宋体" w:cs="宋体"/>
          <w:b/>
          <w:bCs/>
          <w:sz w:val="52"/>
          <w:szCs w:val="52"/>
          <w:lang w:eastAsia="zh-CN"/>
        </w:rPr>
        <w:t>评分办法</w:t>
      </w:r>
    </w:p>
    <w:p>
      <w:pPr>
        <w:widowControl/>
        <w:spacing w:line="360" w:lineRule="auto"/>
        <w:ind w:firstLine="420"/>
        <w:jc w:val="left"/>
        <w:rPr>
          <w:rFonts w:hint="eastAsia" w:ascii="宋体" w:hAnsi="宋体" w:cs="宋体"/>
          <w:b/>
          <w:bCs/>
        </w:rPr>
      </w:pPr>
      <w:r>
        <w:rPr>
          <w:rFonts w:hint="eastAsia" w:ascii="宋体" w:hAnsi="宋体" w:cs="宋体"/>
          <w:b/>
          <w:bCs/>
        </w:rPr>
        <w:t>详细评审</w:t>
      </w:r>
    </w:p>
    <w:p>
      <w:pPr>
        <w:pStyle w:val="8"/>
        <w:spacing w:line="360" w:lineRule="auto"/>
        <w:ind w:firstLine="420" w:firstLineChars="200"/>
        <w:rPr>
          <w:rFonts w:hint="eastAsia" w:hAnsi="宋体" w:cs="宋体"/>
          <w:bCs/>
        </w:rPr>
      </w:pPr>
      <w:r>
        <w:rPr>
          <w:rFonts w:hint="eastAsia" w:hAnsi="宋体" w:cs="宋体"/>
          <w:bCs/>
        </w:rPr>
        <w:t>①对进入详评的，采用综合评分法。</w:t>
      </w:r>
    </w:p>
    <w:p>
      <w:pPr>
        <w:pStyle w:val="7"/>
        <w:spacing w:line="360" w:lineRule="auto"/>
        <w:ind w:firstLine="420" w:firstLineChars="200"/>
        <w:rPr>
          <w:rFonts w:hint="eastAsia" w:ascii="宋体" w:hAnsi="宋体" w:cs="宋体"/>
          <w:bCs/>
        </w:rPr>
      </w:pPr>
      <w:r>
        <w:rPr>
          <w:rFonts w:hint="eastAsia" w:ascii="宋体" w:hAnsi="宋体" w:cs="宋体"/>
          <w:bCs/>
        </w:rPr>
        <w:t>②计分办法（按四舍五入取至小数点后二位）</w:t>
      </w:r>
    </w:p>
    <w:tbl>
      <w:tblPr>
        <w:tblStyle w:val="11"/>
        <w:tblW w:w="4848"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926"/>
        <w:gridCol w:w="1685"/>
        <w:gridCol w:w="4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66" w:type="pct"/>
            <w:noWrap w:val="0"/>
            <w:vAlign w:val="center"/>
          </w:tcPr>
          <w:p>
            <w:pPr>
              <w:spacing w:line="360" w:lineRule="auto"/>
              <w:jc w:val="center"/>
              <w:rPr>
                <w:rFonts w:hint="eastAsia" w:ascii="宋体" w:hAnsi="宋体" w:cs="宋体"/>
              </w:rPr>
            </w:pPr>
            <w:r>
              <w:rPr>
                <w:rFonts w:hint="eastAsia" w:ascii="宋体" w:hAnsi="宋体" w:cs="宋体"/>
              </w:rPr>
              <w:t>条款号</w:t>
            </w:r>
          </w:p>
        </w:tc>
        <w:tc>
          <w:tcPr>
            <w:tcW w:w="1580" w:type="pct"/>
            <w:gridSpan w:val="2"/>
            <w:noWrap w:val="0"/>
            <w:vAlign w:val="center"/>
          </w:tcPr>
          <w:p>
            <w:pPr>
              <w:spacing w:line="360" w:lineRule="auto"/>
              <w:jc w:val="center"/>
              <w:rPr>
                <w:rFonts w:hint="eastAsia" w:ascii="宋体" w:hAnsi="宋体" w:cs="宋体"/>
              </w:rPr>
            </w:pPr>
            <w:r>
              <w:rPr>
                <w:rFonts w:hint="eastAsia" w:ascii="宋体" w:hAnsi="宋体" w:cs="宋体"/>
              </w:rPr>
              <w:t>条款内容</w:t>
            </w:r>
          </w:p>
        </w:tc>
        <w:tc>
          <w:tcPr>
            <w:tcW w:w="2853" w:type="pct"/>
            <w:noWrap w:val="0"/>
            <w:vAlign w:val="center"/>
          </w:tcPr>
          <w:p>
            <w:pPr>
              <w:spacing w:line="360" w:lineRule="auto"/>
              <w:jc w:val="center"/>
              <w:rPr>
                <w:rFonts w:hint="eastAsia" w:ascii="宋体" w:hAnsi="宋体" w:cs="宋体"/>
              </w:rPr>
            </w:pPr>
            <w:r>
              <w:rPr>
                <w:rFonts w:hint="eastAsia" w:ascii="宋体" w:hAnsi="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66" w:type="pct"/>
            <w:vMerge w:val="restart"/>
            <w:noWrap w:val="0"/>
            <w:vAlign w:val="center"/>
          </w:tcPr>
          <w:p>
            <w:pPr>
              <w:spacing w:line="360" w:lineRule="auto"/>
              <w:rPr>
                <w:rFonts w:hint="eastAsia" w:ascii="宋体" w:hAnsi="宋体" w:cs="宋体"/>
              </w:rPr>
            </w:pPr>
            <w:r>
              <w:rPr>
                <w:rFonts w:hint="eastAsia" w:ascii="宋体" w:hAnsi="宋体" w:cs="宋体"/>
              </w:rPr>
              <w:t>2.1</w:t>
            </w:r>
          </w:p>
        </w:tc>
        <w:tc>
          <w:tcPr>
            <w:tcW w:w="1580" w:type="pct"/>
            <w:gridSpan w:val="2"/>
            <w:vMerge w:val="restart"/>
            <w:noWrap w:val="0"/>
            <w:vAlign w:val="center"/>
          </w:tcPr>
          <w:p>
            <w:pPr>
              <w:spacing w:line="360" w:lineRule="auto"/>
              <w:rPr>
                <w:rFonts w:hint="eastAsia" w:ascii="宋体" w:hAnsi="宋体" w:cs="宋体"/>
              </w:rPr>
            </w:pPr>
            <w:r>
              <w:rPr>
                <w:rFonts w:hint="eastAsia" w:ascii="宋体" w:hAnsi="宋体" w:cs="宋体"/>
              </w:rPr>
              <w:t>分值构成（总分100分）</w:t>
            </w:r>
          </w:p>
        </w:tc>
        <w:tc>
          <w:tcPr>
            <w:tcW w:w="2853" w:type="pct"/>
            <w:noWrap w:val="0"/>
            <w:vAlign w:val="bottom"/>
          </w:tcPr>
          <w:p>
            <w:pPr>
              <w:pStyle w:val="7"/>
              <w:spacing w:line="360" w:lineRule="auto"/>
              <w:rPr>
                <w:rFonts w:hint="eastAsia" w:ascii="宋体" w:hAnsi="宋体" w:cs="宋体"/>
              </w:rPr>
            </w:pPr>
            <w:r>
              <w:rPr>
                <w:rFonts w:hint="eastAsia" w:ascii="宋体" w:hAnsi="宋体" w:cs="宋体"/>
              </w:rPr>
              <w:t>商务部分：45分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66" w:type="pct"/>
            <w:vMerge w:val="continue"/>
            <w:noWrap w:val="0"/>
            <w:vAlign w:val="center"/>
          </w:tcPr>
          <w:p>
            <w:pPr>
              <w:spacing w:line="360" w:lineRule="auto"/>
              <w:rPr>
                <w:rFonts w:hint="eastAsia" w:ascii="宋体" w:hAnsi="宋体" w:cs="宋体"/>
              </w:rPr>
            </w:pPr>
          </w:p>
        </w:tc>
        <w:tc>
          <w:tcPr>
            <w:tcW w:w="1580" w:type="pct"/>
            <w:gridSpan w:val="2"/>
            <w:vMerge w:val="continue"/>
            <w:noWrap w:val="0"/>
            <w:vAlign w:val="center"/>
          </w:tcPr>
          <w:p>
            <w:pPr>
              <w:spacing w:line="360" w:lineRule="auto"/>
              <w:rPr>
                <w:rFonts w:hint="eastAsia" w:ascii="宋体" w:hAnsi="宋体" w:cs="宋体"/>
              </w:rPr>
            </w:pPr>
          </w:p>
        </w:tc>
        <w:tc>
          <w:tcPr>
            <w:tcW w:w="2853" w:type="pct"/>
            <w:noWrap w:val="0"/>
            <w:vAlign w:val="bottom"/>
          </w:tcPr>
          <w:p>
            <w:pPr>
              <w:pStyle w:val="7"/>
              <w:spacing w:line="360" w:lineRule="auto"/>
              <w:rPr>
                <w:rFonts w:hint="eastAsia" w:ascii="宋体" w:hAnsi="宋体" w:cs="宋体"/>
              </w:rPr>
            </w:pPr>
            <w:r>
              <w:rPr>
                <w:rFonts w:hint="eastAsia" w:ascii="宋体" w:hAnsi="宋体" w:cs="宋体"/>
              </w:rPr>
              <w:t>技术部分：55分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66" w:type="pct"/>
            <w:noWrap w:val="0"/>
            <w:vAlign w:val="center"/>
          </w:tcPr>
          <w:p>
            <w:pPr>
              <w:spacing w:line="360" w:lineRule="auto"/>
              <w:jc w:val="center"/>
              <w:rPr>
                <w:rFonts w:hint="eastAsia" w:ascii="宋体" w:hAnsi="宋体" w:cs="宋体"/>
                <w:b/>
                <w:bCs/>
              </w:rPr>
            </w:pPr>
            <w:r>
              <w:rPr>
                <w:rFonts w:hint="eastAsia" w:ascii="宋体" w:hAnsi="宋体" w:cs="宋体"/>
                <w:b/>
                <w:bCs/>
              </w:rPr>
              <w:t>条款号</w:t>
            </w:r>
          </w:p>
        </w:tc>
        <w:tc>
          <w:tcPr>
            <w:tcW w:w="1580" w:type="pct"/>
            <w:gridSpan w:val="2"/>
            <w:noWrap w:val="0"/>
            <w:vAlign w:val="center"/>
          </w:tcPr>
          <w:p>
            <w:pPr>
              <w:spacing w:line="360" w:lineRule="auto"/>
              <w:jc w:val="center"/>
              <w:rPr>
                <w:rFonts w:hint="eastAsia" w:ascii="宋体" w:hAnsi="宋体" w:cs="宋体"/>
                <w:b/>
                <w:bCs/>
              </w:rPr>
            </w:pPr>
            <w:r>
              <w:rPr>
                <w:rFonts w:hint="eastAsia" w:ascii="宋体" w:hAnsi="宋体" w:cs="宋体"/>
                <w:b/>
                <w:bCs/>
              </w:rPr>
              <w:t>评分因素</w:t>
            </w:r>
          </w:p>
        </w:tc>
        <w:tc>
          <w:tcPr>
            <w:tcW w:w="2853" w:type="pct"/>
            <w:noWrap w:val="0"/>
            <w:vAlign w:val="center"/>
          </w:tcPr>
          <w:p>
            <w:pPr>
              <w:spacing w:line="360" w:lineRule="auto"/>
              <w:jc w:val="center"/>
              <w:rPr>
                <w:rFonts w:hint="eastAsia" w:ascii="宋体" w:hAnsi="宋体" w:cs="宋体"/>
                <w:b/>
                <w:bCs/>
              </w:rPr>
            </w:pPr>
            <w:r>
              <w:rPr>
                <w:rFonts w:hint="eastAsia" w:ascii="宋体" w:hAnsi="宋体" w:cs="宋体"/>
                <w:b/>
                <w:bCs/>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trPr>
        <w:tc>
          <w:tcPr>
            <w:tcW w:w="566" w:type="pct"/>
            <w:vMerge w:val="restart"/>
            <w:noWrap w:val="0"/>
            <w:vAlign w:val="center"/>
          </w:tcPr>
          <w:p>
            <w:pPr>
              <w:spacing w:line="360" w:lineRule="auto"/>
              <w:jc w:val="center"/>
              <w:rPr>
                <w:rFonts w:hint="eastAsia" w:ascii="宋体" w:hAnsi="宋体" w:cs="宋体"/>
                <w:b/>
                <w:bCs/>
              </w:rPr>
            </w:pPr>
            <w:r>
              <w:rPr>
                <w:rFonts w:hint="eastAsia" w:ascii="宋体" w:hAnsi="宋体" w:cs="宋体"/>
              </w:rPr>
              <w:t>2.2（1）</w:t>
            </w:r>
          </w:p>
        </w:tc>
        <w:tc>
          <w:tcPr>
            <w:tcW w:w="560" w:type="pct"/>
            <w:vMerge w:val="restart"/>
            <w:noWrap w:val="0"/>
            <w:vAlign w:val="center"/>
          </w:tcPr>
          <w:p>
            <w:pPr>
              <w:spacing w:line="360" w:lineRule="auto"/>
              <w:jc w:val="center"/>
              <w:rPr>
                <w:rFonts w:hint="eastAsia" w:ascii="宋体" w:hAnsi="宋体" w:cs="宋体"/>
                <w:b/>
                <w:bCs/>
              </w:rPr>
            </w:pPr>
            <w:r>
              <w:rPr>
                <w:rFonts w:hint="eastAsia" w:cs="宋体"/>
              </w:rPr>
              <w:t>商务部分得分（45分）</w:t>
            </w:r>
          </w:p>
        </w:tc>
        <w:tc>
          <w:tcPr>
            <w:tcW w:w="1020" w:type="pct"/>
            <w:noWrap w:val="0"/>
            <w:vAlign w:val="center"/>
          </w:tcPr>
          <w:p>
            <w:pPr>
              <w:numPr>
                <w:ilvl w:val="0"/>
                <w:numId w:val="1"/>
              </w:numPr>
              <w:spacing w:line="360" w:lineRule="auto"/>
              <w:jc w:val="center"/>
              <w:rPr>
                <w:rFonts w:hint="eastAsia" w:ascii="宋体" w:hAnsi="宋体" w:cs="宋体"/>
                <w:bCs/>
                <w:szCs w:val="21"/>
              </w:rPr>
            </w:pPr>
            <w:r>
              <w:rPr>
                <w:rFonts w:hint="eastAsia" w:ascii="宋体" w:hAnsi="宋体" w:cs="宋体"/>
                <w:bCs/>
                <w:szCs w:val="21"/>
              </w:rPr>
              <w:t>磋商报价分</w:t>
            </w:r>
          </w:p>
          <w:p>
            <w:pPr>
              <w:spacing w:line="360" w:lineRule="auto"/>
              <w:jc w:val="center"/>
              <w:rPr>
                <w:rFonts w:hint="eastAsia" w:ascii="宋体" w:hAnsi="宋体" w:cs="宋体"/>
                <w:bCs/>
                <w:szCs w:val="21"/>
              </w:rPr>
            </w:pPr>
            <w:r>
              <w:rPr>
                <w:rFonts w:hint="eastAsia" w:ascii="宋体" w:hAnsi="宋体" w:cs="宋体"/>
                <w:bCs/>
                <w:szCs w:val="21"/>
              </w:rPr>
              <w:t>（满分10分）</w:t>
            </w:r>
          </w:p>
        </w:tc>
        <w:tc>
          <w:tcPr>
            <w:tcW w:w="2853" w:type="pct"/>
            <w:noWrap w:val="0"/>
            <w:vAlign w:val="center"/>
          </w:tcPr>
          <w:p>
            <w:pPr>
              <w:spacing w:line="360" w:lineRule="auto"/>
              <w:rPr>
                <w:rFonts w:hint="eastAsia" w:ascii="宋体" w:hAnsi="宋体"/>
                <w:szCs w:val="21"/>
              </w:rPr>
            </w:pPr>
            <w:r>
              <w:rPr>
                <w:rFonts w:hint="eastAsia" w:ascii="宋体" w:hAnsi="宋体" w:cs="宋体"/>
                <w:szCs w:val="21"/>
              </w:rPr>
              <w:t>（1）磋商</w:t>
            </w:r>
            <w:r>
              <w:rPr>
                <w:rFonts w:hint="eastAsia" w:ascii="宋体" w:hAnsi="宋体"/>
                <w:szCs w:val="21"/>
                <w:lang w:eastAsia="zh-CN"/>
              </w:rPr>
              <w:t>最后最高报价得</w:t>
            </w:r>
            <w:r>
              <w:rPr>
                <w:rFonts w:hint="eastAsia" w:ascii="宋体" w:hAnsi="宋体"/>
                <w:szCs w:val="21"/>
                <w:lang w:val="en-US" w:eastAsia="zh-CN"/>
              </w:rPr>
              <w:t>10</w:t>
            </w:r>
            <w:r>
              <w:rPr>
                <w:rFonts w:hint="eastAsia" w:ascii="宋体" w:hAnsi="宋体"/>
                <w:szCs w:val="21"/>
              </w:rPr>
              <w:t>分；</w:t>
            </w:r>
          </w:p>
          <w:p>
            <w:pPr>
              <w:spacing w:line="360" w:lineRule="auto"/>
              <w:rPr>
                <w:rFonts w:hint="eastAsia" w:ascii="宋体" w:hAnsi="宋体"/>
                <w:szCs w:val="21"/>
              </w:rPr>
            </w:pPr>
            <w:r>
              <w:rPr>
                <w:rFonts w:hint="eastAsia" w:ascii="宋体" w:hAnsi="宋体" w:cs="宋体"/>
                <w:szCs w:val="21"/>
              </w:rPr>
              <w:t>（2）</w:t>
            </w:r>
            <w:r>
              <w:rPr>
                <w:rFonts w:hint="eastAsia" w:ascii="宋体" w:hAnsi="宋体"/>
                <w:szCs w:val="21"/>
              </w:rPr>
              <w:t>计算方式如下：</w:t>
            </w:r>
          </w:p>
          <w:p>
            <w:pPr>
              <w:spacing w:line="360" w:lineRule="auto"/>
              <w:rPr>
                <w:rFonts w:hint="eastAsia" w:ascii="宋体" w:hAnsi="宋体"/>
                <w:szCs w:val="21"/>
              </w:rPr>
            </w:pPr>
            <w:r>
              <w:rPr>
                <w:rFonts w:hint="eastAsia" w:ascii="宋体" w:hAnsi="宋体"/>
                <w:szCs w:val="21"/>
              </w:rPr>
              <w:t>供应商磋商报价得分=（磋商供应商最后报价/磋商供应商最高报价）×</w:t>
            </w:r>
            <w:r>
              <w:rPr>
                <w:rFonts w:hint="eastAsia" w:ascii="宋体" w:hAnsi="宋体"/>
                <w:szCs w:val="21"/>
                <w:lang w:val="en-US" w:eastAsia="zh-CN"/>
              </w:rPr>
              <w:t>10</w:t>
            </w:r>
            <w:r>
              <w:rPr>
                <w:rFonts w:hint="eastAsia" w:ascii="宋体" w:hAnsi="宋体"/>
                <w:szCs w:val="21"/>
              </w:rPr>
              <w:t>分</w:t>
            </w:r>
          </w:p>
          <w:p>
            <w:pPr>
              <w:spacing w:line="360" w:lineRule="auto"/>
              <w:rPr>
                <w:rFonts w:hint="eastAsia" w:ascii="宋体" w:hAnsi="宋体" w:cs="宋体"/>
              </w:rPr>
            </w:pPr>
            <w:r>
              <w:rPr>
                <w:rFonts w:hint="eastAsia" w:ascii="宋体" w:hAnsi="宋体"/>
                <w:szCs w:val="21"/>
              </w:rPr>
              <w:t>（3）有效报价范围：为通过初步评审合格，经磋商小组审定不存在严重不平衡、不合</w:t>
            </w:r>
            <w:bookmarkStart w:id="15" w:name="_GoBack"/>
            <w:bookmarkEnd w:id="15"/>
            <w:r>
              <w:rPr>
                <w:rFonts w:hint="eastAsia" w:ascii="宋体" w:hAnsi="宋体"/>
                <w:szCs w:val="21"/>
              </w:rPr>
              <w:t>理磋商报价。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trPr>
        <w:tc>
          <w:tcPr>
            <w:tcW w:w="566" w:type="pct"/>
            <w:vMerge w:val="continue"/>
            <w:noWrap w:val="0"/>
            <w:vAlign w:val="center"/>
          </w:tcPr>
          <w:p>
            <w:pPr>
              <w:spacing w:line="360" w:lineRule="auto"/>
              <w:jc w:val="center"/>
              <w:rPr>
                <w:rFonts w:hint="eastAsia" w:ascii="宋体" w:hAnsi="宋体" w:cs="宋体"/>
              </w:rPr>
            </w:pPr>
          </w:p>
        </w:tc>
        <w:tc>
          <w:tcPr>
            <w:tcW w:w="560" w:type="pct"/>
            <w:vMerge w:val="continue"/>
            <w:noWrap w:val="0"/>
            <w:vAlign w:val="center"/>
          </w:tcPr>
          <w:p>
            <w:pPr>
              <w:spacing w:line="360" w:lineRule="auto"/>
              <w:jc w:val="center"/>
              <w:rPr>
                <w:rFonts w:hint="eastAsia" w:cs="宋体"/>
              </w:rPr>
            </w:pPr>
          </w:p>
        </w:tc>
        <w:tc>
          <w:tcPr>
            <w:tcW w:w="1020" w:type="pct"/>
            <w:noWrap w:val="0"/>
            <w:vAlign w:val="center"/>
          </w:tcPr>
          <w:p>
            <w:pPr>
              <w:numPr>
                <w:ilvl w:val="0"/>
                <w:numId w:val="2"/>
              </w:numPr>
              <w:spacing w:line="360" w:lineRule="auto"/>
              <w:jc w:val="center"/>
              <w:rPr>
                <w:rFonts w:hint="eastAsia" w:ascii="宋体" w:hAnsi="宋体" w:cs="宋体"/>
                <w:bCs/>
                <w:szCs w:val="21"/>
              </w:rPr>
            </w:pPr>
            <w:r>
              <w:rPr>
                <w:rFonts w:hint="eastAsia" w:ascii="宋体" w:hAnsi="宋体" w:cs="宋体"/>
                <w:bCs/>
                <w:szCs w:val="21"/>
              </w:rPr>
              <w:t>综合实力分</w:t>
            </w:r>
          </w:p>
          <w:p>
            <w:pPr>
              <w:spacing w:line="360" w:lineRule="auto"/>
              <w:jc w:val="center"/>
              <w:rPr>
                <w:rFonts w:hint="eastAsia" w:ascii="宋体" w:hAnsi="宋体" w:cs="宋体"/>
                <w:bCs/>
                <w:szCs w:val="21"/>
              </w:rPr>
            </w:pPr>
            <w:r>
              <w:rPr>
                <w:rFonts w:hint="eastAsia" w:ascii="宋体" w:hAnsi="宋体" w:cs="宋体"/>
                <w:bCs/>
                <w:szCs w:val="21"/>
              </w:rPr>
              <w:t>（满分25分）</w:t>
            </w:r>
          </w:p>
        </w:tc>
        <w:tc>
          <w:tcPr>
            <w:tcW w:w="2853" w:type="pct"/>
            <w:noWrap w:val="0"/>
            <w:vAlign w:val="center"/>
          </w:tcPr>
          <w:p>
            <w:pPr>
              <w:spacing w:line="360" w:lineRule="auto"/>
            </w:pPr>
            <w:r>
              <w:t>（1）</w:t>
            </w:r>
            <w:r>
              <w:rPr>
                <w:rFonts w:hint="eastAsia"/>
              </w:rPr>
              <w:t>供应商</w:t>
            </w:r>
            <w:r>
              <w:t>通过质量管理体系认证、环境管理体系认证、职业健康管理体系认证，每</w:t>
            </w:r>
            <w:r>
              <w:rPr>
                <w:rFonts w:hint="eastAsia"/>
              </w:rPr>
              <w:t>有</w:t>
            </w:r>
            <w:r>
              <w:t>1项得</w:t>
            </w:r>
            <w:r>
              <w:rPr>
                <w:rFonts w:hint="eastAsia"/>
              </w:rPr>
              <w:t>2</w:t>
            </w:r>
            <w:r>
              <w:t>分，满分为</w:t>
            </w:r>
            <w:r>
              <w:rPr>
                <w:rFonts w:hint="eastAsia"/>
              </w:rPr>
              <w:t>6</w:t>
            </w:r>
            <w:r>
              <w:t>分。（需提供相关证明材料复印件作为计分依据）</w:t>
            </w:r>
          </w:p>
          <w:p>
            <w:pPr>
              <w:spacing w:line="360" w:lineRule="auto"/>
            </w:pPr>
            <w:r>
              <w:t>（2）拟投入的大厨具备高级及以上厨师资格证的得</w:t>
            </w:r>
            <w:r>
              <w:rPr>
                <w:rFonts w:hint="eastAsia"/>
              </w:rPr>
              <w:t>4</w:t>
            </w:r>
            <w:r>
              <w:t>分。（需提供资格证复印件材料作为计分依据）</w:t>
            </w:r>
          </w:p>
          <w:p>
            <w:pPr>
              <w:spacing w:line="360" w:lineRule="auto"/>
            </w:pPr>
            <w:r>
              <w:t>（3）拟投入的管理员在餐饮酒店任楼面经理等以上职位职满</w:t>
            </w:r>
            <w:r>
              <w:rPr>
                <w:rFonts w:hint="eastAsia"/>
              </w:rPr>
              <w:t>1</w:t>
            </w:r>
            <w:r>
              <w:t>年工作经历，或有</w:t>
            </w:r>
            <w:r>
              <w:rPr>
                <w:rFonts w:hint="eastAsia"/>
              </w:rPr>
              <w:t>在</w:t>
            </w:r>
            <w:r>
              <w:t>学校，企事业单位，医院食堂</w:t>
            </w:r>
            <w:r>
              <w:rPr>
                <w:rFonts w:hint="eastAsia"/>
              </w:rPr>
              <w:t>1</w:t>
            </w:r>
            <w:r>
              <w:t>年</w:t>
            </w:r>
            <w:r>
              <w:rPr>
                <w:rFonts w:hint="eastAsia"/>
              </w:rPr>
              <w:t>及以上</w:t>
            </w:r>
            <w:r>
              <w:t>工作经验的得4分。（需提供劳动合同复印件材料作为计分依据）</w:t>
            </w:r>
          </w:p>
          <w:p>
            <w:pPr>
              <w:pStyle w:val="2"/>
              <w:spacing w:line="360" w:lineRule="auto"/>
              <w:ind w:firstLine="0"/>
              <w:rPr>
                <w:rStyle w:val="13"/>
                <w:rFonts w:ascii="宋体" w:hAnsi="宋体"/>
              </w:rPr>
            </w:pPr>
            <w:r>
              <w:rPr>
                <w:rStyle w:val="13"/>
                <w:rFonts w:ascii="宋体" w:hAnsi="宋体"/>
              </w:rPr>
              <w:t>（</w:t>
            </w:r>
            <w:r>
              <w:rPr>
                <w:rStyle w:val="13"/>
                <w:rFonts w:hint="eastAsia" w:ascii="宋体" w:hAnsi="宋体"/>
              </w:rPr>
              <w:t>4</w:t>
            </w:r>
            <w:r>
              <w:rPr>
                <w:rStyle w:val="13"/>
                <w:rFonts w:ascii="宋体" w:hAnsi="宋体"/>
              </w:rPr>
              <w:t>）20</w:t>
            </w:r>
            <w:r>
              <w:rPr>
                <w:rStyle w:val="13"/>
                <w:rFonts w:hint="eastAsia" w:ascii="宋体" w:hAnsi="宋体"/>
                <w:lang w:val="en-US" w:eastAsia="zh-CN"/>
              </w:rPr>
              <w:t>21</w:t>
            </w:r>
            <w:r>
              <w:rPr>
                <w:rStyle w:val="13"/>
                <w:rFonts w:ascii="宋体" w:hAnsi="宋体"/>
              </w:rPr>
              <w:t>年以来取得</w:t>
            </w:r>
            <w:r>
              <w:rPr>
                <w:rStyle w:val="13"/>
              </w:rPr>
              <w:t>与企业生产经营相关奖项</w:t>
            </w:r>
            <w:r>
              <w:rPr>
                <w:rStyle w:val="13"/>
                <w:rFonts w:ascii="宋体"/>
              </w:rPr>
              <w:t>的</w:t>
            </w:r>
            <w:r>
              <w:rPr>
                <w:rStyle w:val="13"/>
                <w:rFonts w:ascii="宋体" w:hAnsi="宋体"/>
              </w:rPr>
              <w:t>，每个得2分；满分6分（均需提供相关证明材料复印件作为计分依据）。</w:t>
            </w:r>
          </w:p>
          <w:p>
            <w:pPr>
              <w:pStyle w:val="2"/>
              <w:spacing w:line="360" w:lineRule="auto"/>
              <w:ind w:firstLine="0"/>
              <w:rPr>
                <w:rStyle w:val="13"/>
                <w:rFonts w:ascii="宋体" w:hAnsi="宋体"/>
              </w:rPr>
            </w:pPr>
            <w:r>
              <w:rPr>
                <w:rStyle w:val="13"/>
                <w:rFonts w:hint="eastAsia" w:ascii="宋体" w:hAnsi="宋体"/>
              </w:rPr>
              <w:t>（5）供应商可为本项目提供扫码点餐配送服务的，得5分。（供应商提供本公司拥有的扫码点餐系统或点餐管理系统的相关证明材料）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566" w:type="pct"/>
            <w:vMerge w:val="continue"/>
            <w:noWrap w:val="0"/>
            <w:vAlign w:val="center"/>
          </w:tcPr>
          <w:p>
            <w:pPr>
              <w:spacing w:line="360" w:lineRule="auto"/>
              <w:jc w:val="center"/>
              <w:rPr>
                <w:rFonts w:hint="eastAsia" w:ascii="宋体" w:hAnsi="宋体" w:cs="宋体"/>
              </w:rPr>
            </w:pPr>
          </w:p>
        </w:tc>
        <w:tc>
          <w:tcPr>
            <w:tcW w:w="560" w:type="pct"/>
            <w:vMerge w:val="continue"/>
            <w:noWrap w:val="0"/>
            <w:vAlign w:val="center"/>
          </w:tcPr>
          <w:p>
            <w:pPr>
              <w:spacing w:line="360" w:lineRule="auto"/>
              <w:jc w:val="center"/>
              <w:rPr>
                <w:rFonts w:hint="eastAsia" w:cs="宋体"/>
              </w:rPr>
            </w:pPr>
          </w:p>
        </w:tc>
        <w:tc>
          <w:tcPr>
            <w:tcW w:w="1020" w:type="pct"/>
            <w:noWrap w:val="0"/>
            <w:vAlign w:val="center"/>
          </w:tcPr>
          <w:p>
            <w:pPr>
              <w:spacing w:line="360" w:lineRule="auto"/>
              <w:jc w:val="center"/>
              <w:rPr>
                <w:rFonts w:hint="eastAsia" w:ascii="宋体" w:hAnsi="宋体" w:cs="宋体"/>
                <w:bCs/>
                <w:szCs w:val="21"/>
              </w:rPr>
            </w:pPr>
            <w:r>
              <w:rPr>
                <w:rFonts w:hint="eastAsia" w:ascii="宋体" w:hAnsi="宋体" w:cs="宋体"/>
                <w:bCs/>
                <w:szCs w:val="21"/>
              </w:rPr>
              <w:t>（3）业绩分</w:t>
            </w:r>
          </w:p>
          <w:p>
            <w:pPr>
              <w:spacing w:line="360" w:lineRule="auto"/>
              <w:jc w:val="center"/>
              <w:rPr>
                <w:rFonts w:hint="eastAsia" w:ascii="宋体" w:hAnsi="宋体" w:cs="宋体"/>
                <w:bCs/>
                <w:szCs w:val="21"/>
              </w:rPr>
            </w:pPr>
            <w:r>
              <w:rPr>
                <w:rFonts w:hint="eastAsia" w:ascii="宋体" w:hAnsi="宋体" w:cs="宋体"/>
                <w:bCs/>
                <w:szCs w:val="21"/>
              </w:rPr>
              <w:t>（满分10分）</w:t>
            </w:r>
          </w:p>
        </w:tc>
        <w:tc>
          <w:tcPr>
            <w:tcW w:w="2853" w:type="pct"/>
            <w:noWrap w:val="0"/>
            <w:vAlign w:val="center"/>
          </w:tcPr>
          <w:p>
            <w:pPr>
              <w:spacing w:line="360" w:lineRule="auto"/>
              <w:rPr>
                <w:rFonts w:hint="eastAsia" w:ascii="宋体" w:hAnsi="宋体" w:cs="宋体"/>
                <w:szCs w:val="21"/>
              </w:rPr>
            </w:pPr>
            <w:r>
              <w:rPr>
                <w:rStyle w:val="13"/>
                <w:rFonts w:hint="eastAsia" w:ascii="宋体" w:hAnsi="宋体"/>
              </w:rPr>
              <w:t>供应商20</w:t>
            </w:r>
            <w:r>
              <w:rPr>
                <w:rStyle w:val="13"/>
                <w:rFonts w:hint="eastAsia" w:ascii="宋体" w:hAnsi="宋体"/>
                <w:lang w:val="en-US" w:eastAsia="zh-CN"/>
              </w:rPr>
              <w:t>21</w:t>
            </w:r>
            <w:r>
              <w:rPr>
                <w:rStyle w:val="13"/>
                <w:rFonts w:ascii="宋体" w:hAnsi="宋体"/>
              </w:rPr>
              <w:t>年以来具有同类业绩【无不良记录，须提供相关有效证明材料（以中标（成交）通知书复印件或签订的合同复印件为准，同一个编号的项目有两个或两个以上的分标中标（成交）的只算一次）】，每个得</w:t>
            </w:r>
            <w:r>
              <w:rPr>
                <w:rStyle w:val="13"/>
                <w:rFonts w:hint="eastAsia" w:ascii="宋体" w:hAnsi="宋体"/>
              </w:rPr>
              <w:t>2</w:t>
            </w:r>
            <w:r>
              <w:rPr>
                <w:rStyle w:val="13"/>
                <w:rFonts w:ascii="宋体" w:hAnsi="宋体"/>
              </w:rPr>
              <w:t>分，满分</w:t>
            </w:r>
            <w:r>
              <w:rPr>
                <w:rStyle w:val="13"/>
                <w:rFonts w:hint="eastAsia" w:ascii="宋体" w:hAnsi="宋体"/>
              </w:rPr>
              <w:t>10</w:t>
            </w:r>
            <w:r>
              <w:rPr>
                <w:rStyle w:val="13"/>
                <w:rFonts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pct"/>
            <w:vMerge w:val="restart"/>
            <w:noWrap w:val="0"/>
            <w:vAlign w:val="center"/>
          </w:tcPr>
          <w:p>
            <w:pPr>
              <w:pStyle w:val="14"/>
              <w:spacing w:line="360" w:lineRule="auto"/>
              <w:ind w:firstLine="0" w:firstLineChars="0"/>
              <w:jc w:val="center"/>
              <w:rPr>
                <w:rFonts w:hint="eastAsia" w:cs="宋体"/>
              </w:rPr>
            </w:pPr>
            <w:r>
              <w:rPr>
                <w:rFonts w:hint="eastAsia" w:cs="宋体"/>
              </w:rPr>
              <w:t>2.2（2）</w:t>
            </w:r>
          </w:p>
        </w:tc>
        <w:tc>
          <w:tcPr>
            <w:tcW w:w="560" w:type="pct"/>
            <w:vMerge w:val="restart"/>
            <w:noWrap w:val="0"/>
            <w:vAlign w:val="center"/>
          </w:tcPr>
          <w:p>
            <w:pPr>
              <w:pStyle w:val="14"/>
              <w:spacing w:line="360" w:lineRule="auto"/>
              <w:ind w:firstLine="0" w:firstLineChars="0"/>
              <w:jc w:val="center"/>
              <w:rPr>
                <w:rFonts w:hint="eastAsia" w:cs="宋体"/>
              </w:rPr>
            </w:pPr>
            <w:r>
              <w:rPr>
                <w:rFonts w:hint="eastAsia" w:cs="宋体"/>
              </w:rPr>
              <w:t>技术部分得分</w:t>
            </w:r>
          </w:p>
          <w:p>
            <w:pPr>
              <w:pStyle w:val="14"/>
              <w:spacing w:line="360" w:lineRule="auto"/>
              <w:ind w:firstLine="0" w:firstLineChars="0"/>
              <w:jc w:val="center"/>
              <w:rPr>
                <w:rFonts w:hint="eastAsia" w:cs="宋体"/>
              </w:rPr>
            </w:pPr>
            <w:r>
              <w:rPr>
                <w:rFonts w:hint="eastAsia" w:cs="宋体"/>
              </w:rPr>
              <w:t>（55分）</w:t>
            </w:r>
          </w:p>
        </w:tc>
        <w:tc>
          <w:tcPr>
            <w:tcW w:w="1020" w:type="pct"/>
            <w:noWrap w:val="0"/>
            <w:vAlign w:val="center"/>
          </w:tcPr>
          <w:p>
            <w:pPr>
              <w:spacing w:line="360" w:lineRule="auto"/>
              <w:jc w:val="center"/>
              <w:rPr>
                <w:rStyle w:val="13"/>
                <w:rFonts w:ascii="宋体" w:hAnsi="宋体"/>
              </w:rPr>
            </w:pPr>
            <w:r>
              <w:rPr>
                <w:rStyle w:val="13"/>
                <w:rFonts w:ascii="宋体" w:hAnsi="宋体"/>
              </w:rPr>
              <w:t>项目经营方案</w:t>
            </w:r>
          </w:p>
          <w:p>
            <w:pPr>
              <w:spacing w:line="360" w:lineRule="auto"/>
              <w:jc w:val="center"/>
              <w:rPr>
                <w:rFonts w:hint="eastAsia" w:cs="宋体"/>
              </w:rPr>
            </w:pPr>
            <w:r>
              <w:rPr>
                <w:rStyle w:val="13"/>
                <w:rFonts w:hint="eastAsia" w:ascii="宋体" w:hAnsi="宋体"/>
              </w:rPr>
              <w:t>（满分25分）</w:t>
            </w:r>
          </w:p>
        </w:tc>
        <w:tc>
          <w:tcPr>
            <w:tcW w:w="2853" w:type="pct"/>
            <w:noWrap w:val="0"/>
            <w:vAlign w:val="center"/>
          </w:tcPr>
          <w:p>
            <w:pPr>
              <w:spacing w:line="360" w:lineRule="auto"/>
              <w:jc w:val="left"/>
              <w:rPr>
                <w:rStyle w:val="13"/>
                <w:rFonts w:ascii="宋体" w:hAnsi="宋体"/>
              </w:rPr>
            </w:pPr>
            <w:r>
              <w:rPr>
                <w:rStyle w:val="13"/>
                <w:rFonts w:ascii="宋体" w:hAnsi="宋体"/>
              </w:rPr>
              <w:t>由</w:t>
            </w:r>
            <w:r>
              <w:rPr>
                <w:rStyle w:val="13"/>
                <w:rFonts w:hint="eastAsia" w:ascii="宋体" w:hAnsi="宋体"/>
              </w:rPr>
              <w:t>专家</w:t>
            </w:r>
            <w:r>
              <w:rPr>
                <w:rStyle w:val="13"/>
                <w:rFonts w:ascii="宋体" w:hAnsi="宋体"/>
              </w:rPr>
              <w:t>在打分前根据</w:t>
            </w:r>
            <w:r>
              <w:rPr>
                <w:rStyle w:val="13"/>
                <w:rFonts w:hint="eastAsia" w:ascii="宋体" w:hAnsi="宋体"/>
              </w:rPr>
              <w:t>采购</w:t>
            </w:r>
            <w:r>
              <w:rPr>
                <w:rStyle w:val="13"/>
                <w:rFonts w:ascii="宋体" w:hAnsi="宋体"/>
              </w:rPr>
              <w:t>文件要求，对比</w:t>
            </w:r>
            <w:r>
              <w:rPr>
                <w:rStyle w:val="13"/>
                <w:rFonts w:hint="eastAsia" w:ascii="宋体" w:hAnsi="宋体"/>
              </w:rPr>
              <w:t>供应商</w:t>
            </w:r>
            <w:r>
              <w:rPr>
                <w:rStyle w:val="13"/>
                <w:rFonts w:ascii="宋体" w:hAnsi="宋体"/>
              </w:rPr>
              <w:t>提供的项目经营方案（包含但不限于项目经营方案、项目经营规划思路、经营管理模式及管理制度、机构组成、菜品种类及其定价方案）内容横向比较后由</w:t>
            </w:r>
            <w:r>
              <w:rPr>
                <w:rStyle w:val="13"/>
                <w:rFonts w:hint="eastAsia" w:ascii="宋体" w:hAnsi="宋体"/>
              </w:rPr>
              <w:t>专家</w:t>
            </w:r>
            <w:r>
              <w:rPr>
                <w:rStyle w:val="13"/>
                <w:rFonts w:ascii="宋体" w:hAnsi="宋体"/>
              </w:rPr>
              <w:t>独立打分。</w:t>
            </w:r>
          </w:p>
          <w:p>
            <w:pPr>
              <w:spacing w:line="360" w:lineRule="auto"/>
              <w:ind w:firstLine="420" w:firstLineChars="200"/>
              <w:rPr>
                <w:rStyle w:val="13"/>
                <w:rFonts w:ascii="宋体" w:hAnsi="宋体"/>
              </w:rPr>
            </w:pPr>
            <w:r>
              <w:rPr>
                <w:rStyle w:val="13"/>
                <w:rFonts w:ascii="宋体" w:hAnsi="宋体"/>
              </w:rPr>
              <w:t>一档（</w:t>
            </w:r>
            <w:r>
              <w:rPr>
                <w:rStyle w:val="13"/>
                <w:rFonts w:hint="eastAsia" w:ascii="宋体" w:hAnsi="宋体"/>
              </w:rPr>
              <w:t>5</w:t>
            </w:r>
            <w:r>
              <w:rPr>
                <w:rStyle w:val="13"/>
                <w:rFonts w:ascii="宋体" w:hAnsi="宋体"/>
              </w:rPr>
              <w:t>分）：</w:t>
            </w:r>
            <w:r>
              <w:rPr>
                <w:rStyle w:val="13"/>
                <w:rFonts w:hint="eastAsia" w:ascii="宋体" w:hAnsi="宋体"/>
              </w:rPr>
              <w:t>供应商</w:t>
            </w:r>
            <w:r>
              <w:rPr>
                <w:rStyle w:val="13"/>
                <w:rFonts w:ascii="宋体" w:hAnsi="宋体"/>
              </w:rPr>
              <w:t>所提供的项目经营方案</w:t>
            </w:r>
            <w:r>
              <w:rPr>
                <w:rStyle w:val="13"/>
                <w:rFonts w:hint="eastAsia" w:ascii="宋体" w:hAnsi="宋体"/>
              </w:rPr>
              <w:t>较差，内容不完整，</w:t>
            </w:r>
            <w:r>
              <w:rPr>
                <w:rFonts w:hint="eastAsia" w:hAnsi="宋体"/>
                <w:szCs w:val="21"/>
              </w:rPr>
              <w:t>针对性差</w:t>
            </w:r>
            <w:r>
              <w:rPr>
                <w:rStyle w:val="13"/>
                <w:rFonts w:ascii="宋体" w:hAnsi="宋体"/>
              </w:rPr>
              <w:t>；</w:t>
            </w:r>
          </w:p>
          <w:p>
            <w:pPr>
              <w:spacing w:line="360" w:lineRule="auto"/>
              <w:ind w:firstLine="420" w:firstLineChars="200"/>
              <w:rPr>
                <w:rStyle w:val="13"/>
                <w:rFonts w:ascii="宋体" w:hAnsi="宋体"/>
              </w:rPr>
            </w:pPr>
            <w:r>
              <w:rPr>
                <w:rStyle w:val="13"/>
                <w:rFonts w:hint="eastAsia" w:ascii="宋体" w:hAnsi="宋体"/>
              </w:rPr>
              <w:t>二</w:t>
            </w:r>
            <w:r>
              <w:rPr>
                <w:rStyle w:val="13"/>
                <w:rFonts w:ascii="宋体" w:hAnsi="宋体"/>
              </w:rPr>
              <w:t>档（</w:t>
            </w:r>
            <w:r>
              <w:rPr>
                <w:rStyle w:val="13"/>
                <w:rFonts w:hint="eastAsia" w:ascii="宋体" w:hAnsi="宋体"/>
              </w:rPr>
              <w:t>10</w:t>
            </w:r>
            <w:r>
              <w:rPr>
                <w:rStyle w:val="13"/>
                <w:rFonts w:ascii="宋体" w:hAnsi="宋体"/>
              </w:rPr>
              <w:t>分）：</w:t>
            </w:r>
            <w:r>
              <w:rPr>
                <w:rStyle w:val="13"/>
                <w:rFonts w:hint="eastAsia" w:ascii="宋体" w:hAnsi="宋体"/>
              </w:rPr>
              <w:t>供应商</w:t>
            </w:r>
            <w:r>
              <w:rPr>
                <w:rStyle w:val="13"/>
                <w:rFonts w:ascii="宋体" w:hAnsi="宋体"/>
              </w:rPr>
              <w:t>所提供的项目经营方案</w:t>
            </w:r>
            <w:r>
              <w:rPr>
                <w:rFonts w:hint="eastAsia" w:hAnsi="宋体"/>
                <w:szCs w:val="21"/>
              </w:rPr>
              <w:t>简单，针对性一般</w:t>
            </w:r>
            <w:r>
              <w:rPr>
                <w:rStyle w:val="13"/>
                <w:rFonts w:ascii="宋体" w:hAnsi="宋体"/>
              </w:rPr>
              <w:t>；</w:t>
            </w:r>
          </w:p>
          <w:p>
            <w:pPr>
              <w:spacing w:line="360" w:lineRule="auto"/>
              <w:ind w:firstLine="420" w:firstLineChars="200"/>
              <w:rPr>
                <w:rStyle w:val="13"/>
                <w:rFonts w:ascii="宋体" w:hAnsi="宋体"/>
              </w:rPr>
            </w:pPr>
            <w:r>
              <w:rPr>
                <w:rStyle w:val="13"/>
                <w:rFonts w:hint="eastAsia" w:ascii="宋体" w:hAnsi="宋体"/>
              </w:rPr>
              <w:t>三</w:t>
            </w:r>
            <w:r>
              <w:rPr>
                <w:rStyle w:val="13"/>
                <w:rFonts w:ascii="宋体" w:hAnsi="宋体"/>
              </w:rPr>
              <w:t>档（</w:t>
            </w:r>
            <w:r>
              <w:rPr>
                <w:rStyle w:val="13"/>
                <w:rFonts w:hint="eastAsia" w:ascii="宋体" w:hAnsi="宋体"/>
              </w:rPr>
              <w:t>15</w:t>
            </w:r>
            <w:r>
              <w:rPr>
                <w:rStyle w:val="13"/>
                <w:rFonts w:ascii="宋体" w:hAnsi="宋体"/>
              </w:rPr>
              <w:t>分）：</w:t>
            </w:r>
            <w:r>
              <w:rPr>
                <w:rStyle w:val="13"/>
                <w:rFonts w:hint="eastAsia" w:ascii="宋体" w:hAnsi="宋体"/>
              </w:rPr>
              <w:t>供应商</w:t>
            </w:r>
            <w:r>
              <w:rPr>
                <w:rStyle w:val="13"/>
                <w:rFonts w:ascii="宋体" w:hAnsi="宋体"/>
              </w:rPr>
              <w:t>所提供的项目经营方案</w:t>
            </w:r>
            <w:r>
              <w:rPr>
                <w:rFonts w:hint="eastAsia" w:hAnsi="宋体"/>
                <w:szCs w:val="21"/>
              </w:rPr>
              <w:t>较简单，内容较完整，针对性较好</w:t>
            </w:r>
            <w:r>
              <w:rPr>
                <w:rStyle w:val="13"/>
                <w:rFonts w:ascii="宋体" w:hAnsi="宋体"/>
              </w:rPr>
              <w:t>；</w:t>
            </w:r>
          </w:p>
          <w:p>
            <w:pPr>
              <w:spacing w:line="360" w:lineRule="auto"/>
              <w:ind w:firstLine="420" w:firstLineChars="200"/>
              <w:rPr>
                <w:rStyle w:val="13"/>
                <w:rFonts w:ascii="宋体" w:hAnsi="宋体"/>
              </w:rPr>
            </w:pPr>
            <w:r>
              <w:rPr>
                <w:rStyle w:val="13"/>
                <w:rFonts w:hint="eastAsia" w:ascii="宋体" w:hAnsi="宋体"/>
              </w:rPr>
              <w:t>四</w:t>
            </w:r>
            <w:r>
              <w:rPr>
                <w:rStyle w:val="13"/>
                <w:rFonts w:ascii="宋体" w:hAnsi="宋体"/>
              </w:rPr>
              <w:t>档（</w:t>
            </w:r>
            <w:r>
              <w:rPr>
                <w:rStyle w:val="13"/>
                <w:rFonts w:hint="eastAsia" w:ascii="宋体" w:hAnsi="宋体"/>
              </w:rPr>
              <w:t>20</w:t>
            </w:r>
            <w:r>
              <w:rPr>
                <w:rStyle w:val="13"/>
                <w:rFonts w:ascii="宋体" w:hAnsi="宋体"/>
              </w:rPr>
              <w:t>分）：</w:t>
            </w:r>
            <w:r>
              <w:rPr>
                <w:rStyle w:val="13"/>
                <w:rFonts w:hint="eastAsia" w:ascii="宋体" w:hAnsi="宋体"/>
              </w:rPr>
              <w:t>供应商</w:t>
            </w:r>
            <w:r>
              <w:rPr>
                <w:rStyle w:val="13"/>
                <w:rFonts w:ascii="宋体" w:hAnsi="宋体"/>
              </w:rPr>
              <w:t>所提供的项项目经营方案</w:t>
            </w:r>
            <w:r>
              <w:rPr>
                <w:rFonts w:hint="eastAsia" w:hAnsi="宋体"/>
                <w:szCs w:val="21"/>
              </w:rPr>
              <w:t>较完整、内容较详细，针对性好</w:t>
            </w:r>
            <w:r>
              <w:rPr>
                <w:rStyle w:val="13"/>
                <w:rFonts w:ascii="宋体" w:hAnsi="宋体"/>
              </w:rPr>
              <w:t>；</w:t>
            </w:r>
          </w:p>
          <w:p>
            <w:pPr>
              <w:spacing w:line="360" w:lineRule="auto"/>
              <w:ind w:firstLine="420" w:firstLineChars="200"/>
              <w:rPr>
                <w:rFonts w:hint="eastAsia" w:cs="宋体"/>
              </w:rPr>
            </w:pPr>
            <w:r>
              <w:rPr>
                <w:rStyle w:val="13"/>
                <w:rFonts w:hint="eastAsia" w:ascii="宋体" w:hAnsi="宋体"/>
              </w:rPr>
              <w:t>五</w:t>
            </w:r>
            <w:r>
              <w:rPr>
                <w:rStyle w:val="13"/>
                <w:rFonts w:ascii="宋体" w:hAnsi="宋体"/>
              </w:rPr>
              <w:t>档（</w:t>
            </w:r>
            <w:r>
              <w:rPr>
                <w:rStyle w:val="13"/>
                <w:rFonts w:hint="eastAsia" w:ascii="宋体" w:hAnsi="宋体"/>
              </w:rPr>
              <w:t>25</w:t>
            </w:r>
            <w:r>
              <w:rPr>
                <w:rStyle w:val="13"/>
                <w:rFonts w:ascii="宋体" w:hAnsi="宋体"/>
              </w:rPr>
              <w:t>分）：</w:t>
            </w:r>
            <w:r>
              <w:rPr>
                <w:rStyle w:val="13"/>
                <w:rFonts w:hint="eastAsia" w:ascii="宋体" w:hAnsi="宋体"/>
              </w:rPr>
              <w:t>供应商</w:t>
            </w:r>
            <w:r>
              <w:rPr>
                <w:rStyle w:val="13"/>
                <w:rFonts w:ascii="宋体" w:hAnsi="宋体"/>
              </w:rPr>
              <w:t>所提供的项项目经营方案</w:t>
            </w:r>
            <w:r>
              <w:rPr>
                <w:rFonts w:hint="eastAsia" w:hAnsi="宋体"/>
                <w:szCs w:val="21"/>
              </w:rPr>
              <w:t>非常完整、内容详细，针对性强，操作性强</w:t>
            </w:r>
            <w:r>
              <w:rPr>
                <w:rStyle w:val="13"/>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pct"/>
            <w:vMerge w:val="continue"/>
            <w:noWrap w:val="0"/>
            <w:vAlign w:val="center"/>
          </w:tcPr>
          <w:p>
            <w:pPr>
              <w:pStyle w:val="14"/>
              <w:spacing w:line="360" w:lineRule="auto"/>
              <w:ind w:firstLine="0" w:firstLineChars="0"/>
              <w:jc w:val="center"/>
              <w:rPr>
                <w:rFonts w:hint="eastAsia" w:cs="宋体"/>
              </w:rPr>
            </w:pPr>
          </w:p>
        </w:tc>
        <w:tc>
          <w:tcPr>
            <w:tcW w:w="560" w:type="pct"/>
            <w:vMerge w:val="continue"/>
            <w:noWrap w:val="0"/>
            <w:vAlign w:val="center"/>
          </w:tcPr>
          <w:p>
            <w:pPr>
              <w:pStyle w:val="14"/>
              <w:spacing w:line="360" w:lineRule="auto"/>
              <w:ind w:firstLine="0" w:firstLineChars="0"/>
              <w:jc w:val="center"/>
              <w:rPr>
                <w:rFonts w:hint="eastAsia" w:cs="宋体"/>
              </w:rPr>
            </w:pPr>
          </w:p>
        </w:tc>
        <w:tc>
          <w:tcPr>
            <w:tcW w:w="1020" w:type="pct"/>
            <w:noWrap w:val="0"/>
            <w:vAlign w:val="center"/>
          </w:tcPr>
          <w:p>
            <w:pPr>
              <w:spacing w:line="360" w:lineRule="auto"/>
              <w:jc w:val="center"/>
              <w:rPr>
                <w:rStyle w:val="13"/>
                <w:rFonts w:ascii="宋体" w:hAnsi="宋体"/>
              </w:rPr>
            </w:pPr>
            <w:r>
              <w:rPr>
                <w:rStyle w:val="13"/>
                <w:rFonts w:ascii="宋体" w:hAnsi="宋体"/>
              </w:rPr>
              <w:t>服务承诺方案</w:t>
            </w:r>
          </w:p>
          <w:p>
            <w:pPr>
              <w:spacing w:line="360" w:lineRule="auto"/>
              <w:jc w:val="center"/>
              <w:rPr>
                <w:rFonts w:hint="eastAsia" w:cs="宋体"/>
              </w:rPr>
            </w:pPr>
            <w:r>
              <w:rPr>
                <w:rStyle w:val="13"/>
                <w:rFonts w:hint="eastAsia" w:ascii="宋体" w:hAnsi="宋体"/>
              </w:rPr>
              <w:t>（满分25分）</w:t>
            </w:r>
          </w:p>
        </w:tc>
        <w:tc>
          <w:tcPr>
            <w:tcW w:w="2853" w:type="pct"/>
            <w:noWrap w:val="0"/>
            <w:vAlign w:val="center"/>
          </w:tcPr>
          <w:p>
            <w:pPr>
              <w:spacing w:line="360" w:lineRule="auto"/>
              <w:jc w:val="left"/>
              <w:rPr>
                <w:rStyle w:val="13"/>
                <w:rFonts w:ascii="宋体" w:hAnsi="宋体"/>
              </w:rPr>
            </w:pPr>
            <w:r>
              <w:rPr>
                <w:rStyle w:val="13"/>
                <w:rFonts w:hint="eastAsia" w:ascii="宋体" w:hAnsi="宋体"/>
              </w:rPr>
              <w:t>供应商</w:t>
            </w:r>
            <w:r>
              <w:rPr>
                <w:rStyle w:val="13"/>
                <w:rFonts w:ascii="宋体" w:hAnsi="宋体"/>
              </w:rPr>
              <w:t>从事的行业和经营范围符合国家产业政策要求，由</w:t>
            </w:r>
            <w:r>
              <w:rPr>
                <w:rStyle w:val="13"/>
                <w:rFonts w:hint="eastAsia" w:ascii="宋体" w:hAnsi="宋体"/>
              </w:rPr>
              <w:t>专家</w:t>
            </w:r>
            <w:r>
              <w:rPr>
                <w:rStyle w:val="13"/>
                <w:rFonts w:ascii="宋体" w:hAnsi="宋体"/>
              </w:rPr>
              <w:t>在打分前根据</w:t>
            </w:r>
            <w:r>
              <w:rPr>
                <w:rStyle w:val="13"/>
                <w:rFonts w:hint="eastAsia" w:ascii="宋体" w:hAnsi="宋体"/>
              </w:rPr>
              <w:t>供应商</w:t>
            </w:r>
            <w:r>
              <w:rPr>
                <w:rStyle w:val="13"/>
                <w:rFonts w:ascii="宋体" w:hAnsi="宋体"/>
              </w:rPr>
              <w:t>提供的服务承诺方案内容（包括但不限于服务质量、</w:t>
            </w:r>
            <w:r>
              <w:rPr>
                <w:rStyle w:val="13"/>
                <w:rFonts w:hint="eastAsia" w:ascii="宋体" w:hAnsi="宋体"/>
              </w:rPr>
              <w:t>配送方式、</w:t>
            </w:r>
            <w:r>
              <w:rPr>
                <w:rStyle w:val="13"/>
                <w:rFonts w:ascii="宋体" w:hAnsi="宋体"/>
              </w:rPr>
              <w:t>食堂装修改造承诺、食品安全承诺）等情况横向比较后由</w:t>
            </w:r>
            <w:r>
              <w:rPr>
                <w:rStyle w:val="13"/>
                <w:rFonts w:hint="eastAsia" w:ascii="宋体" w:hAnsi="宋体"/>
              </w:rPr>
              <w:t>专家</w:t>
            </w:r>
            <w:r>
              <w:rPr>
                <w:rStyle w:val="13"/>
                <w:rFonts w:ascii="宋体" w:hAnsi="宋体"/>
              </w:rPr>
              <w:t>独立打分。</w:t>
            </w:r>
          </w:p>
          <w:p>
            <w:pPr>
              <w:spacing w:line="360" w:lineRule="auto"/>
              <w:ind w:firstLine="420" w:firstLineChars="200"/>
              <w:rPr>
                <w:rStyle w:val="13"/>
                <w:rFonts w:hint="eastAsia" w:ascii="宋体" w:hAnsi="宋体"/>
              </w:rPr>
            </w:pPr>
            <w:r>
              <w:rPr>
                <w:rStyle w:val="13"/>
                <w:rFonts w:ascii="宋体" w:hAnsi="宋体"/>
              </w:rPr>
              <w:t>一档（</w:t>
            </w:r>
            <w:r>
              <w:rPr>
                <w:rStyle w:val="13"/>
                <w:rFonts w:hint="eastAsia" w:ascii="宋体" w:hAnsi="宋体"/>
              </w:rPr>
              <w:t>5</w:t>
            </w:r>
            <w:r>
              <w:rPr>
                <w:rStyle w:val="13"/>
                <w:rFonts w:ascii="宋体" w:hAnsi="宋体"/>
              </w:rPr>
              <w:t>分）：服务承诺方案</w:t>
            </w:r>
            <w:r>
              <w:rPr>
                <w:rFonts w:hint="eastAsia" w:ascii="宋体" w:hAnsi="宋体" w:cs="宋体"/>
              </w:rPr>
              <w:t>较差，可行性较差</w:t>
            </w:r>
            <w:r>
              <w:rPr>
                <w:rStyle w:val="13"/>
                <w:rFonts w:ascii="宋体" w:hAnsi="宋体"/>
              </w:rPr>
              <w:t>；</w:t>
            </w:r>
          </w:p>
          <w:p>
            <w:pPr>
              <w:spacing w:line="360" w:lineRule="auto"/>
              <w:ind w:firstLine="420" w:firstLineChars="200"/>
              <w:rPr>
                <w:rStyle w:val="13"/>
                <w:rFonts w:hint="eastAsia" w:ascii="宋体" w:hAnsi="宋体"/>
              </w:rPr>
            </w:pPr>
            <w:r>
              <w:rPr>
                <w:rStyle w:val="13"/>
                <w:rFonts w:hint="eastAsia" w:ascii="宋体" w:hAnsi="宋体"/>
              </w:rPr>
              <w:t>二</w:t>
            </w:r>
            <w:r>
              <w:rPr>
                <w:rStyle w:val="13"/>
                <w:rFonts w:ascii="宋体" w:hAnsi="宋体"/>
              </w:rPr>
              <w:t>档（</w:t>
            </w:r>
            <w:r>
              <w:rPr>
                <w:rStyle w:val="13"/>
                <w:rFonts w:hint="eastAsia" w:ascii="宋体" w:hAnsi="宋体"/>
              </w:rPr>
              <w:t>10</w:t>
            </w:r>
            <w:r>
              <w:rPr>
                <w:rStyle w:val="13"/>
                <w:rFonts w:ascii="宋体" w:hAnsi="宋体"/>
              </w:rPr>
              <w:t>分）：服务承诺方案</w:t>
            </w:r>
            <w:r>
              <w:rPr>
                <w:rFonts w:hint="eastAsia" w:ascii="宋体" w:hAnsi="宋体" w:cs="宋体"/>
              </w:rPr>
              <w:t>简单，可行性一般</w:t>
            </w:r>
            <w:r>
              <w:rPr>
                <w:rStyle w:val="13"/>
                <w:rFonts w:ascii="宋体" w:hAnsi="宋体"/>
              </w:rPr>
              <w:t>；</w:t>
            </w:r>
          </w:p>
          <w:p>
            <w:pPr>
              <w:spacing w:line="360" w:lineRule="auto"/>
              <w:ind w:firstLine="420" w:firstLineChars="200"/>
              <w:rPr>
                <w:rStyle w:val="13"/>
                <w:rFonts w:hint="eastAsia" w:ascii="宋体" w:hAnsi="宋体"/>
              </w:rPr>
            </w:pPr>
            <w:r>
              <w:rPr>
                <w:rStyle w:val="13"/>
                <w:rFonts w:hint="eastAsia" w:ascii="宋体" w:hAnsi="宋体"/>
              </w:rPr>
              <w:t>三</w:t>
            </w:r>
            <w:r>
              <w:rPr>
                <w:rStyle w:val="13"/>
                <w:rFonts w:ascii="宋体" w:hAnsi="宋体"/>
              </w:rPr>
              <w:t>档（</w:t>
            </w:r>
            <w:r>
              <w:rPr>
                <w:rStyle w:val="13"/>
                <w:rFonts w:hint="eastAsia" w:ascii="宋体" w:hAnsi="宋体"/>
              </w:rPr>
              <w:t>15</w:t>
            </w:r>
            <w:r>
              <w:rPr>
                <w:rStyle w:val="13"/>
                <w:rFonts w:ascii="宋体" w:hAnsi="宋体"/>
              </w:rPr>
              <w:t>分）：服务承诺方案</w:t>
            </w:r>
            <w:r>
              <w:rPr>
                <w:rFonts w:hint="eastAsia" w:ascii="宋体" w:hAnsi="宋体" w:cs="宋体"/>
              </w:rPr>
              <w:t>较完善，可行性较好，有针对性</w:t>
            </w:r>
            <w:r>
              <w:rPr>
                <w:rStyle w:val="13"/>
                <w:rFonts w:ascii="宋体" w:hAnsi="宋体"/>
              </w:rPr>
              <w:t>；</w:t>
            </w:r>
          </w:p>
          <w:p>
            <w:pPr>
              <w:spacing w:line="360" w:lineRule="auto"/>
              <w:ind w:firstLine="420" w:firstLineChars="200"/>
              <w:rPr>
                <w:rStyle w:val="13"/>
                <w:rFonts w:ascii="宋体" w:hAnsi="宋体"/>
              </w:rPr>
            </w:pPr>
            <w:r>
              <w:rPr>
                <w:rStyle w:val="13"/>
                <w:rFonts w:hint="eastAsia" w:ascii="宋体" w:hAnsi="宋体"/>
              </w:rPr>
              <w:t>四</w:t>
            </w:r>
            <w:r>
              <w:rPr>
                <w:rStyle w:val="13"/>
                <w:rFonts w:ascii="宋体" w:hAnsi="宋体"/>
              </w:rPr>
              <w:t>档（</w:t>
            </w:r>
            <w:r>
              <w:rPr>
                <w:rStyle w:val="13"/>
                <w:rFonts w:hint="eastAsia" w:ascii="宋体" w:hAnsi="宋体"/>
              </w:rPr>
              <w:t>20</w:t>
            </w:r>
            <w:r>
              <w:rPr>
                <w:rStyle w:val="13"/>
                <w:rFonts w:ascii="宋体" w:hAnsi="宋体"/>
              </w:rPr>
              <w:t>分）：</w:t>
            </w:r>
            <w:r>
              <w:rPr>
                <w:rFonts w:hint="eastAsia" w:ascii="宋体" w:hAnsi="宋体" w:cs="宋体"/>
              </w:rPr>
              <w:t>服务承诺方案详细完善、科学合理、可行性强、具有较强的针对性</w:t>
            </w:r>
            <w:r>
              <w:rPr>
                <w:rStyle w:val="13"/>
                <w:rFonts w:ascii="宋体" w:hAnsi="宋体"/>
              </w:rPr>
              <w:t>；</w:t>
            </w:r>
          </w:p>
          <w:p>
            <w:pPr>
              <w:spacing w:line="360" w:lineRule="auto"/>
              <w:ind w:firstLine="420" w:firstLineChars="200"/>
              <w:rPr>
                <w:rFonts w:hint="eastAsia" w:cs="宋体"/>
              </w:rPr>
            </w:pPr>
            <w:r>
              <w:rPr>
                <w:rStyle w:val="13"/>
                <w:rFonts w:hint="eastAsia" w:ascii="宋体" w:hAnsi="宋体"/>
              </w:rPr>
              <w:t>五</w:t>
            </w:r>
            <w:r>
              <w:rPr>
                <w:rStyle w:val="13"/>
                <w:rFonts w:ascii="宋体" w:hAnsi="宋体"/>
              </w:rPr>
              <w:t>档（</w:t>
            </w:r>
            <w:r>
              <w:rPr>
                <w:rStyle w:val="13"/>
                <w:rFonts w:hint="eastAsia" w:ascii="宋体" w:hAnsi="宋体"/>
              </w:rPr>
              <w:t>25</w:t>
            </w:r>
            <w:r>
              <w:rPr>
                <w:rStyle w:val="13"/>
                <w:rFonts w:ascii="宋体" w:hAnsi="宋体"/>
              </w:rPr>
              <w:t>分）：</w:t>
            </w:r>
            <w:r>
              <w:rPr>
                <w:rFonts w:hint="eastAsia" w:ascii="宋体" w:hAnsi="宋体" w:cs="宋体"/>
              </w:rPr>
              <w:t>服务承诺方案非常详细、科学合理、可行性强，针对性强，有优化服务方案，能提供其他增值售后服务或其它实质性优惠措施</w:t>
            </w:r>
            <w:r>
              <w:rPr>
                <w:rStyle w:val="13"/>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66" w:type="pct"/>
            <w:vMerge w:val="continue"/>
            <w:tcBorders>
              <w:bottom w:val="single" w:color="auto" w:sz="4" w:space="0"/>
            </w:tcBorders>
            <w:noWrap w:val="0"/>
            <w:vAlign w:val="center"/>
          </w:tcPr>
          <w:p>
            <w:pPr>
              <w:pStyle w:val="14"/>
              <w:spacing w:line="360" w:lineRule="auto"/>
              <w:ind w:firstLine="0" w:firstLineChars="0"/>
              <w:jc w:val="center"/>
              <w:rPr>
                <w:rFonts w:hint="eastAsia" w:cs="宋体"/>
              </w:rPr>
            </w:pPr>
          </w:p>
        </w:tc>
        <w:tc>
          <w:tcPr>
            <w:tcW w:w="560" w:type="pct"/>
            <w:vMerge w:val="continue"/>
            <w:tcBorders>
              <w:bottom w:val="single" w:color="auto" w:sz="4" w:space="0"/>
            </w:tcBorders>
            <w:noWrap w:val="0"/>
            <w:vAlign w:val="center"/>
          </w:tcPr>
          <w:p>
            <w:pPr>
              <w:pStyle w:val="14"/>
              <w:spacing w:line="360" w:lineRule="auto"/>
              <w:ind w:firstLine="0" w:firstLineChars="0"/>
              <w:jc w:val="center"/>
              <w:rPr>
                <w:rFonts w:hint="eastAsia" w:cs="宋体"/>
              </w:rPr>
            </w:pPr>
          </w:p>
        </w:tc>
        <w:tc>
          <w:tcPr>
            <w:tcW w:w="1020" w:type="pct"/>
            <w:tcBorders>
              <w:bottom w:val="single" w:color="auto" w:sz="4" w:space="0"/>
            </w:tcBorders>
            <w:noWrap w:val="0"/>
            <w:vAlign w:val="center"/>
          </w:tcPr>
          <w:p>
            <w:pPr>
              <w:spacing w:line="360" w:lineRule="auto"/>
              <w:jc w:val="center"/>
              <w:rPr>
                <w:rStyle w:val="13"/>
                <w:rFonts w:ascii="宋体" w:hAnsi="宋体"/>
              </w:rPr>
            </w:pPr>
            <w:r>
              <w:rPr>
                <w:rStyle w:val="13"/>
                <w:rFonts w:ascii="宋体" w:hAnsi="宋体"/>
              </w:rPr>
              <w:t>投入人员安排及作息安排</w:t>
            </w:r>
          </w:p>
          <w:p>
            <w:pPr>
              <w:spacing w:line="360" w:lineRule="auto"/>
              <w:jc w:val="center"/>
              <w:rPr>
                <w:rFonts w:hint="eastAsia" w:cs="宋体"/>
              </w:rPr>
            </w:pPr>
            <w:r>
              <w:rPr>
                <w:rStyle w:val="13"/>
                <w:rFonts w:ascii="宋体" w:hAnsi="宋体"/>
              </w:rPr>
              <w:t>（满分</w:t>
            </w:r>
            <w:r>
              <w:rPr>
                <w:rStyle w:val="13"/>
                <w:rFonts w:hint="eastAsia" w:ascii="宋体" w:hAnsi="宋体"/>
              </w:rPr>
              <w:t>5</w:t>
            </w:r>
            <w:r>
              <w:rPr>
                <w:rStyle w:val="13"/>
                <w:rFonts w:ascii="宋体" w:hAnsi="宋体"/>
              </w:rPr>
              <w:t>）</w:t>
            </w:r>
          </w:p>
        </w:tc>
        <w:tc>
          <w:tcPr>
            <w:tcW w:w="2853"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Style w:val="13"/>
                <w:rFonts w:ascii="宋体" w:hAnsi="宋体"/>
              </w:rPr>
            </w:pPr>
            <w:r>
              <w:rPr>
                <w:rStyle w:val="13"/>
                <w:rFonts w:ascii="宋体" w:hAnsi="宋体"/>
              </w:rPr>
              <w:t>由</w:t>
            </w:r>
            <w:r>
              <w:rPr>
                <w:rStyle w:val="13"/>
                <w:rFonts w:hint="eastAsia" w:ascii="宋体" w:hAnsi="宋体"/>
              </w:rPr>
              <w:t>专家</w:t>
            </w:r>
            <w:r>
              <w:rPr>
                <w:rStyle w:val="13"/>
                <w:rFonts w:ascii="宋体" w:hAnsi="宋体"/>
              </w:rPr>
              <w:t>在打分前根据各</w:t>
            </w:r>
            <w:r>
              <w:rPr>
                <w:rStyle w:val="13"/>
                <w:rFonts w:hint="eastAsia" w:ascii="宋体" w:hAnsi="宋体"/>
              </w:rPr>
              <w:t>供应商</w:t>
            </w:r>
            <w:r>
              <w:rPr>
                <w:rStyle w:val="13"/>
                <w:rFonts w:ascii="宋体" w:hAnsi="宋体"/>
              </w:rPr>
              <w:t>提供投入人员安排及作息安排，对比各</w:t>
            </w:r>
            <w:r>
              <w:rPr>
                <w:rStyle w:val="13"/>
                <w:rFonts w:hint="eastAsia" w:ascii="宋体" w:hAnsi="宋体"/>
              </w:rPr>
              <w:t>供应商响应文件</w:t>
            </w:r>
            <w:r>
              <w:rPr>
                <w:rStyle w:val="13"/>
                <w:rFonts w:ascii="宋体" w:hAnsi="宋体"/>
              </w:rPr>
              <w:t>中投入人员安排及作息安排的优劣程度独立打分。</w:t>
            </w:r>
          </w:p>
          <w:p>
            <w:pPr>
              <w:spacing w:line="360" w:lineRule="auto"/>
              <w:ind w:firstLine="420" w:firstLineChars="200"/>
              <w:rPr>
                <w:rStyle w:val="13"/>
                <w:rFonts w:ascii="宋体" w:hAnsi="宋体"/>
              </w:rPr>
            </w:pPr>
            <w:r>
              <w:rPr>
                <w:rStyle w:val="13"/>
                <w:rFonts w:ascii="宋体" w:hAnsi="宋体"/>
              </w:rPr>
              <w:t>一档（</w:t>
            </w:r>
            <w:r>
              <w:rPr>
                <w:rStyle w:val="13"/>
                <w:rFonts w:hint="eastAsia" w:ascii="宋体" w:hAnsi="宋体"/>
              </w:rPr>
              <w:t>1</w:t>
            </w:r>
            <w:r>
              <w:rPr>
                <w:rStyle w:val="13"/>
                <w:rFonts w:ascii="宋体" w:hAnsi="宋体"/>
              </w:rPr>
              <w:t>分））：投入人员安排及作息安排基本满足要求、计划基本合理；</w:t>
            </w:r>
          </w:p>
          <w:p>
            <w:pPr>
              <w:spacing w:line="360" w:lineRule="auto"/>
              <w:ind w:firstLine="420" w:firstLineChars="200"/>
              <w:rPr>
                <w:rStyle w:val="13"/>
                <w:rFonts w:ascii="宋体" w:hAnsi="宋体"/>
              </w:rPr>
            </w:pPr>
            <w:r>
              <w:rPr>
                <w:rStyle w:val="13"/>
                <w:rFonts w:ascii="宋体" w:hAnsi="宋体"/>
              </w:rPr>
              <w:t>二档（</w:t>
            </w:r>
            <w:r>
              <w:rPr>
                <w:rStyle w:val="13"/>
                <w:rFonts w:hint="eastAsia" w:ascii="宋体" w:hAnsi="宋体"/>
              </w:rPr>
              <w:t>3</w:t>
            </w:r>
            <w:r>
              <w:rPr>
                <w:rStyle w:val="13"/>
                <w:rFonts w:ascii="宋体" w:hAnsi="宋体"/>
              </w:rPr>
              <w:t>分）：投入人员安排及作息安排满足要求、计划较</w:t>
            </w:r>
            <w:r>
              <w:rPr>
                <w:rStyle w:val="13"/>
                <w:rFonts w:hint="eastAsia" w:ascii="宋体" w:hAnsi="宋体"/>
              </w:rPr>
              <w:t>为</w:t>
            </w:r>
            <w:r>
              <w:rPr>
                <w:rStyle w:val="13"/>
                <w:rFonts w:ascii="宋体" w:hAnsi="宋体"/>
              </w:rPr>
              <w:t>合理；</w:t>
            </w:r>
          </w:p>
          <w:p>
            <w:pPr>
              <w:spacing w:line="360" w:lineRule="auto"/>
              <w:ind w:firstLine="420" w:firstLineChars="200"/>
              <w:rPr>
                <w:rFonts w:hint="eastAsia" w:cs="宋体"/>
              </w:rPr>
            </w:pPr>
            <w:r>
              <w:rPr>
                <w:rStyle w:val="13"/>
                <w:rFonts w:ascii="宋体" w:hAnsi="宋体"/>
              </w:rPr>
              <w:t>三档（</w:t>
            </w:r>
            <w:r>
              <w:rPr>
                <w:rStyle w:val="13"/>
                <w:rFonts w:hint="eastAsia" w:ascii="宋体" w:hAnsi="宋体"/>
              </w:rPr>
              <w:t>5</w:t>
            </w:r>
            <w:r>
              <w:rPr>
                <w:rStyle w:val="13"/>
                <w:rFonts w:ascii="宋体" w:hAnsi="宋体"/>
              </w:rPr>
              <w:t>分）：投入人员安排及作息安排、计划</w:t>
            </w:r>
            <w:r>
              <w:rPr>
                <w:rStyle w:val="13"/>
                <w:rFonts w:hint="eastAsia" w:ascii="宋体" w:hAnsi="宋体"/>
              </w:rPr>
              <w:t>完全</w:t>
            </w:r>
            <w:r>
              <w:rPr>
                <w:rStyle w:val="13"/>
                <w:rFonts w:ascii="宋体" w:hAnsi="宋体"/>
              </w:rPr>
              <w:t>满足要求</w:t>
            </w:r>
            <w:r>
              <w:rPr>
                <w:rStyle w:val="13"/>
                <w:rFonts w:hint="eastAsia" w:ascii="宋体" w:hAnsi="宋体"/>
              </w:rPr>
              <w:t>，非常</w:t>
            </w:r>
            <w:r>
              <w:rPr>
                <w:rStyle w:val="13"/>
                <w:rFonts w:ascii="宋体" w:hAnsi="宋体"/>
              </w:rPr>
              <w:t>合理且</w:t>
            </w:r>
            <w:r>
              <w:rPr>
                <w:rStyle w:val="13"/>
                <w:rFonts w:hint="eastAsia" w:ascii="宋体" w:hAnsi="宋体"/>
              </w:rPr>
              <w:t>可行性针对性强。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000" w:type="pct"/>
            <w:gridSpan w:val="4"/>
            <w:noWrap w:val="0"/>
            <w:vAlign w:val="center"/>
          </w:tcPr>
          <w:p>
            <w:pPr>
              <w:pStyle w:val="14"/>
              <w:spacing w:line="360" w:lineRule="auto"/>
              <w:ind w:firstLine="0" w:firstLineChars="0"/>
              <w:rPr>
                <w:rFonts w:hint="eastAsia" w:cs="宋体"/>
              </w:rPr>
            </w:pPr>
            <w:r>
              <w:rPr>
                <w:rFonts w:hint="eastAsia" w:cs="宋体"/>
              </w:rPr>
              <w:t>4、综合得分＝1+2</w:t>
            </w:r>
          </w:p>
        </w:tc>
      </w:tr>
    </w:tbl>
    <w:p>
      <w:pPr>
        <w:pStyle w:val="8"/>
        <w:tabs>
          <w:tab w:val="left" w:pos="4214"/>
        </w:tabs>
        <w:spacing w:line="360" w:lineRule="auto"/>
        <w:ind w:firstLine="422" w:firstLineChars="200"/>
        <w:rPr>
          <w:rFonts w:hint="eastAsia" w:hAnsi="宋体" w:cs="宋体"/>
          <w:b/>
        </w:rPr>
      </w:pPr>
      <w:r>
        <w:rPr>
          <w:rFonts w:hint="eastAsia" w:hAnsi="宋体" w:cs="宋体"/>
          <w:b/>
        </w:rPr>
        <w:t>三、推荐成交候选供应商原则</w:t>
      </w:r>
    </w:p>
    <w:p>
      <w:pPr>
        <w:pStyle w:val="8"/>
        <w:tabs>
          <w:tab w:val="left" w:pos="4214"/>
        </w:tabs>
        <w:spacing w:line="360" w:lineRule="auto"/>
        <w:ind w:firstLine="420" w:firstLineChars="200"/>
        <w:rPr>
          <w:rFonts w:hint="eastAsia" w:hAnsi="宋体" w:cs="宋体"/>
          <w:szCs w:val="21"/>
        </w:rPr>
      </w:pPr>
      <w:r>
        <w:rPr>
          <w:rFonts w:hint="eastAsia" w:hAnsi="宋体" w:cs="宋体"/>
          <w:szCs w:val="21"/>
        </w:rPr>
        <w:t>（1）磋商小组应当根据综合评分情况，按照综合得分由高到低顺序推荐成交候选供应商，并编写评审报告。磋商小组根据综合得分由高到低排列次序，若得分相同时，以评审报价由低到高顺序排列；若得分相同且评审报价相同的，以最后报价由低到高顺序排列；若仍相同的，按技术分由高到低顺序排列并推荐成交候选供应商。</w:t>
      </w:r>
    </w:p>
    <w:p>
      <w:pPr>
        <w:pStyle w:val="8"/>
        <w:tabs>
          <w:tab w:val="left" w:pos="4214"/>
        </w:tabs>
        <w:spacing w:line="360" w:lineRule="auto"/>
        <w:ind w:firstLine="420" w:firstLineChars="200"/>
        <w:rPr>
          <w:rFonts w:hint="eastAsia" w:hAnsi="宋体" w:cs="宋体"/>
          <w:szCs w:val="21"/>
        </w:rPr>
      </w:pPr>
      <w:r>
        <w:rPr>
          <w:rFonts w:hint="eastAsia" w:hAnsi="宋体" w:cs="宋体"/>
          <w:szCs w:val="21"/>
        </w:rPr>
        <w:t>（2）采购人应当确定磋商小组推荐排名第一的成交候选供应商为成交供应商。</w:t>
      </w:r>
    </w:p>
    <w:p>
      <w:pPr>
        <w:pStyle w:val="8"/>
        <w:tabs>
          <w:tab w:val="left" w:pos="4214"/>
        </w:tabs>
        <w:spacing w:line="360" w:lineRule="auto"/>
        <w:ind w:firstLine="420" w:firstLineChars="200"/>
        <w:rPr>
          <w:rFonts w:hint="eastAsia" w:hAnsi="宋体" w:cs="宋体"/>
          <w:szCs w:val="21"/>
        </w:rPr>
      </w:pPr>
      <w:r>
        <w:rPr>
          <w:rFonts w:hint="eastAsia" w:hAnsi="宋体" w:cs="宋体"/>
          <w:szCs w:val="21"/>
        </w:rPr>
        <w:t>（3）排名第一的成交候选供应商放弃成交、因不可抗力提出不能履行合同的，采购人可以按照评审报告推荐的成交候选供应商名单排序，确定下一候选供应商为成交供应商，也可以重新开展采购活动。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正文 CS 字体)">
    <w:altName w:val="宋体"/>
    <w:panose1 w:val="020B0604020202020204"/>
    <w:charset w:val="86"/>
    <w:family w:val="roman"/>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CCBD02"/>
    <w:multiLevelType w:val="singleLevel"/>
    <w:tmpl w:val="B2CCBD02"/>
    <w:lvl w:ilvl="0" w:tentative="0">
      <w:start w:val="1"/>
      <w:numFmt w:val="decimal"/>
      <w:suff w:val="nothing"/>
      <w:lvlText w:val="（%1）"/>
      <w:lvlJc w:val="left"/>
    </w:lvl>
  </w:abstractNum>
  <w:abstractNum w:abstractNumId="1">
    <w:nsid w:val="2155EF14"/>
    <w:multiLevelType w:val="singleLevel"/>
    <w:tmpl w:val="2155EF14"/>
    <w:lvl w:ilvl="0" w:tentative="0">
      <w:start w:val="2"/>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凯">
    <w15:presenceInfo w15:providerId="WPS Office" w15:userId="3964144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YmI3MTZkYmY4OTljYmY3ZjEyOTJiN2QwNzMxNDIifQ=="/>
  </w:docVars>
  <w:rsids>
    <w:rsidRoot w:val="00000000"/>
    <w:rsid w:val="07FB369A"/>
    <w:rsid w:val="13FE7B17"/>
    <w:rsid w:val="27F031F9"/>
    <w:rsid w:val="33A115DC"/>
    <w:rsid w:val="378A0A6D"/>
    <w:rsid w:val="3A8D1B72"/>
    <w:rsid w:val="448C1712"/>
    <w:rsid w:val="51170348"/>
    <w:rsid w:val="55FE3D11"/>
    <w:rsid w:val="5863512F"/>
    <w:rsid w:val="591B6FD7"/>
    <w:rsid w:val="5BF01A90"/>
    <w:rsid w:val="718A26CF"/>
    <w:rsid w:val="7367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szCs w:val="20"/>
    </w:rPr>
  </w:style>
  <w:style w:type="paragraph" w:styleId="5">
    <w:name w:val="index 8"/>
    <w:basedOn w:val="1"/>
    <w:next w:val="1"/>
    <w:qFormat/>
    <w:uiPriority w:val="0"/>
    <w:pPr>
      <w:ind w:left="2940"/>
    </w:pPr>
    <w:rPr>
      <w:rFonts w:ascii="Calibri" w:hAnsi="Calibri" w:eastAsia="宋体" w:cs="Times New Roman"/>
    </w:rPr>
  </w:style>
  <w:style w:type="paragraph" w:styleId="6">
    <w:name w:val="annotation text"/>
    <w:basedOn w:val="1"/>
    <w:uiPriority w:val="99"/>
    <w:pPr>
      <w:jc w:val="left"/>
    </w:pPr>
    <w:rPr>
      <w:rFonts w:ascii="Calibri" w:hAnsi="Calibri"/>
    </w:rPr>
  </w:style>
  <w:style w:type="paragraph" w:styleId="7">
    <w:name w:val="Body Text"/>
    <w:basedOn w:val="1"/>
    <w:next w:val="1"/>
    <w:uiPriority w:val="0"/>
    <w:pPr>
      <w:spacing w:after="120"/>
    </w:pPr>
    <w:rPr>
      <w:rFonts w:ascii="Calibri" w:hAnsi="Calibri" w:eastAsia="宋体" w:cs="Times New Roman"/>
    </w:rPr>
  </w:style>
  <w:style w:type="paragraph" w:styleId="8">
    <w:name w:val="Plain Text"/>
    <w:basedOn w:val="1"/>
    <w:next w:val="5"/>
    <w:uiPriority w:val="0"/>
    <w:rPr>
      <w:rFonts w:ascii="宋体" w:hAnsi="Courier New"/>
      <w:szCs w:val="20"/>
    </w:rPr>
  </w:style>
  <w:style w:type="paragraph" w:styleId="9">
    <w:name w:val="footer"/>
    <w:basedOn w:val="1"/>
    <w:uiPriority w:val="0"/>
    <w:pPr>
      <w:tabs>
        <w:tab w:val="center" w:pos="4153"/>
        <w:tab w:val="right" w:pos="8306"/>
      </w:tabs>
      <w:snapToGrid w:val="0"/>
      <w:jc w:val="left"/>
    </w:pPr>
    <w:rPr>
      <w:rFonts w:ascii="Calibri" w:hAnsi="Calibri"/>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customStyle="1" w:styleId="13">
    <w:name w:val="NormalCharacter"/>
    <w:semiHidden/>
    <w:qFormat/>
    <w:uiPriority w:val="0"/>
  </w:style>
  <w:style w:type="paragraph" w:styleId="14">
    <w:name w:val="No Spacing"/>
    <w:qFormat/>
    <w:uiPriority w:val="1"/>
    <w:pPr>
      <w:widowControl w:val="0"/>
      <w:ind w:firstLine="200" w:firstLineChars="200"/>
      <w:jc w:val="both"/>
    </w:pPr>
    <w:rPr>
      <w:rFonts w:ascii="宋体" w:hAnsi="宋体" w:eastAsia="宋体" w:cs="Times New Roman (正文 CS 字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7410</Words>
  <Characters>7525</Characters>
  <Lines>0</Lines>
  <Paragraphs>0</Paragraphs>
  <TotalTime>18</TotalTime>
  <ScaleCrop>false</ScaleCrop>
  <LinksUpToDate>false</LinksUpToDate>
  <CharactersWithSpaces>7551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2023-06-25T00:42:00Z</dcterms:created>
  <dc:creator>abc</dc:creator>
  <cp:lastModifiedBy>张凯</cp:lastModifiedBy>
  <dcterms:modified xsi:type="dcterms:W3CDTF">2023-06-30T07:41:14Z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75E01807A30649A584E2CD6B88524FBB_12</vt:lpwstr>
  </property>
</Properties>
</file>