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855" w:tblpY="543"/>
        <w:tblOverlap w:val="never"/>
        <w:tblW w:w="10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286"/>
        <w:gridCol w:w="848"/>
        <w:gridCol w:w="6116"/>
        <w:gridCol w:w="846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序号</w:t>
            </w:r>
          </w:p>
        </w:tc>
        <w:tc>
          <w:tcPr>
            <w:tcW w:w="12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名称</w:t>
            </w:r>
          </w:p>
        </w:tc>
        <w:tc>
          <w:tcPr>
            <w:tcW w:w="8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数量及单位</w:t>
            </w:r>
          </w:p>
        </w:tc>
        <w:tc>
          <w:tcPr>
            <w:tcW w:w="611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参数性能、指标及配置</w:t>
            </w:r>
          </w:p>
        </w:tc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 w:cs="宋体"/>
                <w:kern w:val="0"/>
                <w:lang w:eastAsia="zh-CN"/>
              </w:rPr>
            </w:pPr>
            <w:r>
              <w:rPr>
                <w:rFonts w:hint="eastAsia" w:cs="宋体"/>
                <w:kern w:val="0"/>
                <w:lang w:eastAsia="zh-CN"/>
              </w:rPr>
              <w:t>单价（元）</w:t>
            </w:r>
          </w:p>
        </w:tc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lang w:eastAsia="zh-CN"/>
              </w:rPr>
            </w:pPr>
            <w:r>
              <w:rPr>
                <w:rFonts w:hint="eastAsia" w:cs="宋体"/>
                <w:kern w:val="0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移动护理</w:t>
            </w:r>
            <w:r>
              <w:rPr>
                <w:rFonts w:cs="宋体"/>
                <w:kern w:val="0"/>
              </w:rPr>
              <w:t>PDA</w:t>
            </w:r>
          </w:p>
        </w:tc>
        <w:tc>
          <w:tcPr>
            <w:tcW w:w="84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6</w:t>
            </w:r>
            <w:r>
              <w:rPr>
                <w:rFonts w:cs="宋体"/>
                <w:kern w:val="0"/>
              </w:rPr>
              <w:t>0</w:t>
            </w:r>
            <w:r>
              <w:rPr>
                <w:rFonts w:hint="eastAsia" w:cs="宋体"/>
                <w:kern w:val="0"/>
              </w:rPr>
              <w:t>台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操作系统Android 11 或以上，高通骁龙处理器≥8核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主频≥2.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GHz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内存≥4G，存储≥64G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≥5.5 英寸 IPS 屏幕，分辨率≥1440×720，多点触控屏，超明亮，阳光下可视；</w:t>
            </w:r>
            <w:r>
              <w:rPr>
                <w:spacing w:val="8"/>
              </w:rPr>
              <w:t>每台配置单充底座；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2、支持4G、5G全网通各制式通信网络标准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支持IEEE 802.11a/b/g/n/ac/ax ，支 持2.4GHz/5GHz/6GHz 频段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，蓝牙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5.1，高频NFC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支持定位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键盘：触控屏+功能键，不带数字和字母键盘；功能键：音量上调/下调键、左右扫描键、 电源键；具备虚拟触控式返回键、菜单键，主页键；屏幕下方无实体按键以防渗液；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摄像头：前置摄像头≥500 万像素，后置摄像头≥1300万像素；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可充电的锂离子电池≥3.8V，≥4500mAh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电池连续工作时间≥10小时（非待机时间）电池可免工具直接拆卸并更换，确保后期维护和安装更换方便；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外壳材料：医疗白色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专用抑菌材料，可耐受医用酒精、过氧化氢、丙乙醇、聚维酮碘等医院常用消毒剂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抗跌落能力：能承受不低于1.5米水泥地面的跌落冲击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抗滚落能力：可承受多次0.5m滚落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(验收时提供检测报告)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条码扫描引擎：支持 1D/2D ，最新扫描引擎，扫描技术属于PDA原厂品牌，并有专利技术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(验收时提供检测报告)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工业防护等级：IP67或以上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防腐蚀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投标产品通过GB/T2423.17-2008防腐（盐雾）检测；(验收时提供检测报告)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设备管理：平板电脑设备和PDA设备保证可在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医院原来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管理平台下进行使用，具备设备管理功能。兼容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医院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现有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东华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移动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护理系统和应用APP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无需进行额外开发对接工作或者增加服务器等硬件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测温：可选测温配置，测量精度±0.2℃（测温范围35~42℃) , 测量距离≤5cm;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★备用机：≥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投标人于投标文件中提供所投产品CCC认证证书；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投标人于投标文件中提供所投产品电信设备进网许可证书；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投标人于投标文件中提供所投产品无线电发射设备型号核准证书；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投标人于投标文件中提供所投产品RoHS证书；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医护查房平板电脑</w:t>
            </w:r>
          </w:p>
        </w:tc>
        <w:tc>
          <w:tcPr>
            <w:tcW w:w="84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16</w:t>
            </w:r>
            <w:r>
              <w:rPr>
                <w:rFonts w:hint="eastAsia" w:cs="宋体"/>
                <w:kern w:val="0"/>
              </w:rPr>
              <w:t>台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Android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 或以上操作系统，高通骁龙八核处理器、主频≥2.0GHz；内存≥4GB；存储≥64GB；≥10英寸IPS屏幕，分辨率≥1200x1920,屏幕亮度裸屏≥370cd/m²；电池容量：≥8000mAh，续航时间≥10小时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提供原厂原配单充底座及直充，支持快充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支持3.5mm 麦克风输入或有线输入；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触摸屏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全触摸屏，支持多点触碰，支持手套和湿手操作；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无线局域网：IEEE802.11a/b/g/n/ac，支持2.4G及5G 频段，支持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4G、5G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全网各制式通信网络标准；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外壳材料：医疗白色专用抑菌材料，可耐受酒精、过氧 化氢、丙乙醇、聚维酮碘等化学品擦拭消毒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抗跌落能力：能承受不低于 1 米水泥地面的跌落冲击；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条码扫描引擎：支持1D/2D，扫描技术属于PDA原厂品牌，并有专利技术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、NFC：13.56MHz，支持ISO14443A/14443B/15693；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、GPS：GPS+Glonass+Beidou+Galileo(+AGPS)；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、摄像头：后置≥13MP，前置≥5MP；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设备管理：平板电脑设备和PDA设备保证可在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医院原来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管理平台下进行使用，具备设备管理功能。兼容医院现有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东华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移动查房系统和应用APP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，无需进行额外开发对接工作或者增加服务器等硬件。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★备用机：≥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投标人于投标文件中提供所投产品CCC认证证书；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投标人于投标文件中提供所投产品无线电发射设备型号核准证书；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投标人于投标文件中提供所投产品电信设备进网许可证书；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投标人于投标文件中提供所投产品RoHS证书；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3</w:t>
            </w:r>
          </w:p>
        </w:tc>
        <w:tc>
          <w:tcPr>
            <w:tcW w:w="128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cs="宋体"/>
                <w:kern w:val="0"/>
              </w:rPr>
            </w:pPr>
            <w:r>
              <w:rPr>
                <w:rFonts w:hint="eastAsia" w:cs="宋体"/>
                <w:kern w:val="0"/>
              </w:rPr>
              <w:t>有线患者手写签名板</w:t>
            </w:r>
          </w:p>
        </w:tc>
        <w:tc>
          <w:tcPr>
            <w:tcW w:w="84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eastAsia="宋体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cs="宋体"/>
                <w:kern w:val="0"/>
                <w:szCs w:val="21"/>
              </w:rPr>
              <w:t>台</w:t>
            </w:r>
          </w:p>
        </w:tc>
        <w:tc>
          <w:tcPr>
            <w:tcW w:w="6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支持手写签名笔记采集，通过显示屏采集签名人签字笔迹，并支持查询回放；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2、支持行为证据采集，通过指纹仪采集指纹，形成签名行为的证据链；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3、支持手写批注采集，通过手写签名板获取签名人手写批注笔迹图片，支持多字多行批注，在签名文档上进行可视化展现；支持手写批注标题修改，可根据客户实际场景进行修改；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4、支持手写数字签名，用第三方CA中心颁发的数字证书，以签名人手写签名笔迹形态进行可视化展现；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5、扩展屏，支持将屏幕信息扩展或者复制到手写屏幕上展示；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6、配备保护套，有效防水防撞击。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、★硬件能与院内现有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广西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CA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平台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进行无缝对接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无需进行额外开发对接工作或者增加服务器等硬件。（提供证明材料）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、硬件规格要求：显示屏尺寸≧10.1寸；显示屏类型：TFT LCD；分辨率≧1280*800；接口类型：USB；电磁感应式/Electromagnetic Touch触控；压力感应≧2048Level；无源无线笔类型；指纹类型为电容式；指纹解析度≧500DPI。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 w:cs="宋体"/>
                <w:kern w:val="0"/>
                <w:lang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4</w:t>
            </w:r>
          </w:p>
        </w:tc>
        <w:tc>
          <w:tcPr>
            <w:tcW w:w="128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无线患者手写签名板</w:t>
            </w:r>
          </w:p>
        </w:tc>
        <w:tc>
          <w:tcPr>
            <w:tcW w:w="84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cs="宋体"/>
                <w:kern w:val="0"/>
                <w:szCs w:val="21"/>
              </w:rPr>
              <w:t>台</w:t>
            </w:r>
          </w:p>
        </w:tc>
        <w:tc>
          <w:tcPr>
            <w:tcW w:w="6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CPU频率≥1.8GHz，核心数≥8，内存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4GB，存储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64GB，前置摄像头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，后置摄像头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1300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W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，至少8英寸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800*1280高端压缩屏；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支持多点触控，支持手套或湿手操作；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工作信道应支持2.4G和5G信道；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支持电容指纹，支持采集签署人(患者本人/家属)的指纹和签名笔迹，兼容现有医院移动签名APP，支持根据患者信息，获取院内业务系统推送的待签署文件，支持患者多家属在同一文书上进行签，支持将已签署文件回传给院内业务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配备保护套，有效防水防撞击。满足跌落规格在操作温度范围内，6面均能承受多次(至少20次)从1.5米高度跌落至混凝土地面的冲击；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满足防护等级IP65，满足静电防护±15KV空气放电，±8 KV接触放电；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满足内置可充电锂聚合物电池6000mAh电池容量，待机时间&gt;300小时，满足工作时间：&gt;4小时；整机厚度≤18mm，重量≤900g；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★硬件能与院内现有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广西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CA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平台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进行无缝对接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无需进行额外开发对接工作或者增加服务器等硬件。（提供证明材料）</w:t>
            </w: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cs="宋体"/>
                <w:kern w:val="0"/>
                <w:lang w:val="en-US" w:eastAsia="zh-CN"/>
              </w:rPr>
            </w:pPr>
            <w:r>
              <w:rPr>
                <w:rFonts w:hint="eastAsia" w:cs="宋体"/>
                <w:kern w:val="0"/>
                <w:lang w:val="en-US" w:eastAsia="zh-CN"/>
              </w:rPr>
              <w:t>5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总计（元）</w:t>
            </w:r>
          </w:p>
        </w:tc>
        <w:tc>
          <w:tcPr>
            <w:tcW w:w="780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</w:tbl>
    <w:p/>
    <w:p>
      <w:pPr>
        <w:pStyle w:val="4"/>
        <w:adjustRightInd w:val="0"/>
        <w:snapToGrid w:val="0"/>
        <w:spacing w:line="360" w:lineRule="auto"/>
        <w:ind w:firstLine="400" w:firstLineChars="200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按国家有关产品“三包”规定执行“三包”；免费保修期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不低于</w:t>
      </w:r>
      <w:r>
        <w:rPr>
          <w:rFonts w:hint="eastAsia"/>
        </w:rPr>
        <w:t xml:space="preserve"> 3 年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（免费保修期从设备验收合格之日起计算），免费保修期内上门维修不收取任何费用</w:t>
      </w:r>
      <w:r>
        <w:rPr>
          <w:rFonts w:hint="eastAsia" w:asciiTheme="minorEastAsia" w:hAnsiTheme="minorEastAsia" w:eastAsia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</w:rPr>
        <w:t>软件终身免费升级服务，设备生产厂家提供远程联机维护服务，能对设备进行软件升级及故障分析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szCs w:val="21"/>
        </w:rPr>
        <w:t>在免费保修期内因货物本身的质量问题发生故障，乙方应负责免费修理和更换零部件。对达不到技术要求者，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投标方</w:t>
      </w:r>
      <w:r>
        <w:rPr>
          <w:rFonts w:hint="eastAsia" w:asciiTheme="minorEastAsia" w:hAnsiTheme="minorEastAsia" w:eastAsiaTheme="minorEastAsia" w:cstheme="minorEastAsia"/>
          <w:szCs w:val="21"/>
        </w:rPr>
        <w:t>承担所发生的全部费用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及损失。</w:t>
      </w:r>
      <w:r>
        <w:rPr>
          <w:rFonts w:hint="eastAsia" w:asciiTheme="minorEastAsia" w:hAnsiTheme="minorEastAsia" w:eastAsiaTheme="minorEastAsia" w:cstheme="minorEastAsia"/>
          <w:sz w:val="21"/>
        </w:rPr>
        <w:t>超过免费保修期的机器设备，提供终生维修服务。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3295"/>
    <w:multiLevelType w:val="singleLevel"/>
    <w:tmpl w:val="0A91329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YmMwNmE1N2NjZjE1NWVlOTVmNDMyYTRhNDJjZDEifQ=="/>
  </w:docVars>
  <w:rsids>
    <w:rsidRoot w:val="00000000"/>
    <w:rsid w:val="098803A0"/>
    <w:rsid w:val="0B1E53DD"/>
    <w:rsid w:val="0E0B37BA"/>
    <w:rsid w:val="0FF10DD3"/>
    <w:rsid w:val="121D02C7"/>
    <w:rsid w:val="125E2DFE"/>
    <w:rsid w:val="15AE4D76"/>
    <w:rsid w:val="1EC93AD9"/>
    <w:rsid w:val="233910FE"/>
    <w:rsid w:val="23BF4132"/>
    <w:rsid w:val="26F65890"/>
    <w:rsid w:val="29083F40"/>
    <w:rsid w:val="2C835C7A"/>
    <w:rsid w:val="2E876B37"/>
    <w:rsid w:val="35D94B60"/>
    <w:rsid w:val="443B7965"/>
    <w:rsid w:val="44E67F8B"/>
    <w:rsid w:val="47155D3F"/>
    <w:rsid w:val="4B2C57A1"/>
    <w:rsid w:val="5A670D9E"/>
    <w:rsid w:val="5E5A7C48"/>
    <w:rsid w:val="603251E6"/>
    <w:rsid w:val="63790205"/>
    <w:rsid w:val="66560832"/>
    <w:rsid w:val="6B291AF5"/>
    <w:rsid w:val="6BBA23DF"/>
    <w:rsid w:val="6E827E27"/>
    <w:rsid w:val="74940C67"/>
    <w:rsid w:val="76D113D5"/>
    <w:rsid w:val="7BD2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semiHidden/>
    <w:qFormat/>
    <w:uiPriority w:val="0"/>
    <w:pPr>
      <w:spacing w:line="400" w:lineRule="exact"/>
      <w:ind w:firstLine="420" w:firstLineChars="200"/>
    </w:pPr>
    <w:rPr>
      <w:rFonts w:ascii="宋体" w:hAnsi="Courier New"/>
      <w:b/>
      <w:szCs w:val="20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Body Text First Indent 2"/>
    <w:basedOn w:val="1"/>
    <w:unhideWhenUsed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2023-10-09T02:23:00Z</dcterms:created>
  <dc:creator>Administrator</dc:creator>
  <cp:lastModifiedBy>张凯</cp:lastModifiedBy>
  <dcterms:modified xsi:type="dcterms:W3CDTF">2023-10-24T04:19:09Z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7E991346BB834CA6A93591E96495F55C_12</vt:lpwstr>
  </property>
</Properties>
</file>