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3" w:firstLineChars="200"/>
        <w:jc w:val="center"/>
        <w:rPr>
          <w:rFonts w:hint="default" w:ascii="仿宋" w:hAnsi="仿宋" w:eastAsia="仿宋" w:cs="黑体"/>
          <w:b/>
          <w:bCs/>
          <w:sz w:val="36"/>
          <w:szCs w:val="36"/>
          <w:lang w:val="en-US" w:eastAsia="zh-CN"/>
        </w:rPr>
      </w:pPr>
      <w:r>
        <w:rPr>
          <w:rFonts w:hint="eastAsia" w:ascii="仿宋" w:hAnsi="仿宋" w:eastAsia="仿宋" w:cs="黑体"/>
          <w:b/>
          <w:bCs/>
          <w:sz w:val="36"/>
          <w:szCs w:val="36"/>
        </w:rPr>
        <w:t>广西壮族自治区南溪山医院采购全流程平台</w:t>
      </w:r>
      <w:r>
        <w:rPr>
          <w:rFonts w:hint="eastAsia" w:ascii="仿宋" w:hAnsi="仿宋" w:eastAsia="仿宋" w:cs="黑体"/>
          <w:b/>
          <w:bCs/>
          <w:sz w:val="36"/>
          <w:szCs w:val="36"/>
          <w:lang w:eastAsia="zh-CN"/>
        </w:rPr>
        <w:t>项目</w:t>
      </w:r>
      <w:bookmarkStart w:id="1" w:name="_GoBack"/>
      <w:bookmarkEnd w:id="1"/>
      <w:r>
        <w:rPr>
          <w:rFonts w:hint="eastAsia" w:ascii="仿宋" w:hAnsi="仿宋" w:eastAsia="仿宋" w:cs="黑体"/>
          <w:b/>
          <w:bCs/>
          <w:sz w:val="36"/>
          <w:szCs w:val="36"/>
          <w:lang w:eastAsia="zh-CN"/>
        </w:rPr>
        <w:t>采购</w:t>
      </w:r>
      <w:r>
        <w:rPr>
          <w:rFonts w:hint="eastAsia" w:ascii="仿宋" w:hAnsi="仿宋" w:eastAsia="仿宋" w:cs="黑体"/>
          <w:b/>
          <w:bCs/>
          <w:sz w:val="36"/>
          <w:szCs w:val="36"/>
          <w:lang w:val="en-US" w:eastAsia="zh-CN"/>
        </w:rPr>
        <w:t>需求</w:t>
      </w:r>
    </w:p>
    <w:p>
      <w:pPr>
        <w:pStyle w:val="13"/>
        <w:ind w:firstLine="28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一、系统功能</w:t>
      </w:r>
    </w:p>
    <w:tbl>
      <w:tblPr>
        <w:tblStyle w:val="14"/>
        <w:tblW w:w="474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9"/>
        <w:gridCol w:w="1586"/>
        <w:gridCol w:w="8074"/>
        <w:gridCol w:w="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851" w:type="pct"/>
            <w:tcBorders>
              <w:tl2br w:val="nil"/>
              <w:tr2bl w:val="nil"/>
            </w:tcBorders>
            <w:shd w:val="clear" w:color="auto" w:fill="C7DAF1" w:themeFill="text2" w:themeFillTint="32"/>
            <w:noWrap/>
            <w:vAlign w:val="center"/>
          </w:tcPr>
          <w:p>
            <w:pPr>
              <w:widowControl/>
              <w:spacing w:line="360" w:lineRule="exact"/>
              <w:jc w:val="center"/>
              <w:textAlignment w:val="center"/>
              <w:rPr>
                <w:rFonts w:ascii="仿宋" w:hAnsi="仿宋" w:eastAsia="仿宋" w:cs="仿宋"/>
                <w:b/>
                <w:bCs/>
                <w:color w:val="FFFFFF"/>
                <w:sz w:val="28"/>
                <w:szCs w:val="28"/>
              </w:rPr>
            </w:pPr>
            <w:r>
              <w:rPr>
                <w:rFonts w:hint="eastAsia" w:ascii="仿宋" w:hAnsi="仿宋" w:eastAsia="仿宋" w:cs="仿宋"/>
                <w:b/>
                <w:bCs/>
                <w:snapToGrid w:val="0"/>
                <w:color w:val="000000"/>
                <w:kern w:val="0"/>
                <w:sz w:val="28"/>
                <w:szCs w:val="28"/>
                <w:lang w:bidi="ar"/>
              </w:rPr>
              <w:t>管理模块</w:t>
            </w:r>
          </w:p>
        </w:tc>
        <w:tc>
          <w:tcPr>
            <w:tcW w:w="625" w:type="pct"/>
            <w:tcBorders>
              <w:tl2br w:val="nil"/>
              <w:tr2bl w:val="nil"/>
            </w:tcBorders>
            <w:shd w:val="clear" w:color="auto" w:fill="C7DAF1" w:themeFill="text2" w:themeFillTint="32"/>
            <w:noWrap/>
            <w:vAlign w:val="center"/>
          </w:tcPr>
          <w:p>
            <w:pPr>
              <w:widowControl/>
              <w:spacing w:line="360" w:lineRule="exact"/>
              <w:jc w:val="center"/>
              <w:textAlignment w:val="center"/>
              <w:rPr>
                <w:rFonts w:ascii="仿宋" w:hAnsi="仿宋" w:eastAsia="仿宋" w:cs="仿宋"/>
                <w:b/>
                <w:bCs/>
                <w:color w:val="FFFFFF"/>
                <w:sz w:val="28"/>
                <w:szCs w:val="28"/>
              </w:rPr>
            </w:pPr>
            <w:r>
              <w:rPr>
                <w:rFonts w:hint="eastAsia" w:ascii="仿宋" w:hAnsi="仿宋" w:eastAsia="仿宋" w:cs="仿宋"/>
                <w:b/>
                <w:bCs/>
                <w:snapToGrid w:val="0"/>
                <w:color w:val="000000"/>
                <w:kern w:val="0"/>
                <w:sz w:val="28"/>
                <w:szCs w:val="28"/>
                <w:lang w:bidi="ar"/>
              </w:rPr>
              <w:t>功能</w:t>
            </w:r>
          </w:p>
        </w:tc>
        <w:tc>
          <w:tcPr>
            <w:tcW w:w="3183" w:type="pct"/>
            <w:tcBorders>
              <w:tl2br w:val="nil"/>
              <w:tr2bl w:val="nil"/>
            </w:tcBorders>
            <w:shd w:val="clear" w:color="auto" w:fill="C7DAF1" w:themeFill="text2" w:themeFillTint="32"/>
            <w:vAlign w:val="center"/>
          </w:tcPr>
          <w:p>
            <w:pPr>
              <w:widowControl/>
              <w:spacing w:line="360" w:lineRule="exact"/>
              <w:jc w:val="center"/>
              <w:textAlignment w:val="center"/>
              <w:rPr>
                <w:rFonts w:ascii="仿宋" w:hAnsi="仿宋" w:eastAsia="仿宋" w:cs="仿宋"/>
                <w:b/>
                <w:bCs/>
                <w:snapToGrid w:val="0"/>
                <w:color w:val="000000"/>
                <w:kern w:val="0"/>
                <w:sz w:val="28"/>
                <w:szCs w:val="28"/>
                <w:lang w:bidi="ar"/>
              </w:rPr>
            </w:pPr>
            <w:r>
              <w:rPr>
                <w:rFonts w:hint="eastAsia" w:ascii="仿宋" w:hAnsi="仿宋" w:eastAsia="仿宋" w:cs="仿宋"/>
                <w:b/>
                <w:bCs/>
                <w:snapToGrid w:val="0"/>
                <w:color w:val="000000"/>
                <w:kern w:val="0"/>
                <w:sz w:val="28"/>
                <w:szCs w:val="28"/>
                <w:lang w:bidi="ar"/>
              </w:rPr>
              <w:t>功能描述</w:t>
            </w:r>
          </w:p>
        </w:tc>
        <w:tc>
          <w:tcPr>
            <w:tcW w:w="341" w:type="pct"/>
            <w:tcBorders>
              <w:tl2br w:val="nil"/>
              <w:tr2bl w:val="nil"/>
            </w:tcBorders>
            <w:shd w:val="clear" w:color="auto" w:fill="C7DAF1" w:themeFill="text2" w:themeFillTint="32"/>
            <w:vAlign w:val="center"/>
          </w:tcPr>
          <w:p>
            <w:pPr>
              <w:widowControl/>
              <w:spacing w:line="360" w:lineRule="exact"/>
              <w:jc w:val="center"/>
              <w:textAlignment w:val="center"/>
              <w:rPr>
                <w:rFonts w:ascii="仿宋" w:hAnsi="仿宋" w:eastAsia="仿宋" w:cs="仿宋"/>
                <w:b/>
                <w:bCs/>
                <w:snapToGrid w:val="0"/>
                <w:color w:val="000000"/>
                <w:kern w:val="0"/>
                <w:sz w:val="28"/>
                <w:szCs w:val="28"/>
                <w:lang w:bidi="ar"/>
              </w:rPr>
            </w:pPr>
            <w:r>
              <w:rPr>
                <w:rFonts w:hint="eastAsia" w:ascii="仿宋" w:hAnsi="仿宋" w:eastAsia="仿宋" w:cs="仿宋"/>
                <w:b/>
                <w:bCs/>
                <w:snapToGrid w:val="0"/>
                <w:color w:val="000000"/>
                <w:kern w:val="0"/>
                <w:sz w:val="28"/>
                <w:szCs w:val="28"/>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1" w:type="pct"/>
            <w:vMerge w:val="restart"/>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r>
              <w:rPr>
                <w:rFonts w:hint="eastAsia" w:ascii="仿宋" w:hAnsi="仿宋" w:eastAsia="仿宋" w:cs="仿宋"/>
                <w:snapToGrid w:val="0"/>
                <w:color w:val="000000"/>
                <w:kern w:val="0"/>
                <w:sz w:val="28"/>
                <w:szCs w:val="28"/>
                <w:lang w:bidi="ar"/>
              </w:rPr>
              <w:t>采购门户网站</w:t>
            </w: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snapToGrid w:val="0"/>
                <w:color w:val="000000"/>
                <w:kern w:val="0"/>
                <w:sz w:val="28"/>
                <w:szCs w:val="28"/>
                <w:lang w:bidi="ar"/>
              </w:rPr>
              <w:t>采购公告信息展示</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提供采购信息的独立页面或医院官网子页面，包括医院整体项目采购/变更/结果公告集中展示，并可进行项目方式、公告类型等分栏目展示。</w:t>
            </w:r>
          </w:p>
          <w:p>
            <w:pPr>
              <w:widowControl/>
              <w:spacing w:line="360" w:lineRule="exact"/>
              <w:jc w:val="left"/>
              <w:textAlignment w:val="center"/>
              <w:rPr>
                <w:rFonts w:ascii="仿宋" w:hAnsi="仿宋" w:eastAsia="仿宋" w:cs="仿宋"/>
                <w:color w:val="000000"/>
                <w:sz w:val="28"/>
                <w:szCs w:val="28"/>
              </w:rPr>
            </w:pPr>
            <w:r>
              <w:rPr>
                <w:rFonts w:hint="eastAsia" w:ascii="仿宋" w:hAnsi="仿宋" w:eastAsia="仿宋" w:cs="仿宋"/>
                <w:snapToGrid w:val="0"/>
                <w:color w:val="000000"/>
                <w:kern w:val="0"/>
                <w:sz w:val="28"/>
                <w:szCs w:val="28"/>
                <w:lang w:bidi="ar"/>
              </w:rPr>
              <w:t>系统发布公告后经宣传科审批，并推送至医院官网相应栏目</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snapToGrid w:val="0"/>
                <w:color w:val="000000"/>
                <w:kern w:val="0"/>
                <w:sz w:val="28"/>
                <w:szCs w:val="28"/>
                <w:lang w:bidi="ar"/>
              </w:rPr>
              <w:t>登录窗口</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color w:val="000000"/>
                <w:sz w:val="28"/>
                <w:szCs w:val="28"/>
              </w:rPr>
            </w:pPr>
            <w:r>
              <w:rPr>
                <w:rFonts w:hint="eastAsia" w:ascii="仿宋" w:hAnsi="仿宋" w:eastAsia="仿宋" w:cs="仿宋"/>
                <w:snapToGrid w:val="0"/>
                <w:color w:val="000000"/>
                <w:kern w:val="0"/>
                <w:sz w:val="28"/>
                <w:szCs w:val="28"/>
                <w:lang w:bidi="ar"/>
              </w:rPr>
              <w:t>提供医院及供应商、第三方、专家登录窗口，并同步打通医院单点登录模式，实现与OA账号同步，直接身份验证登录。</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帮助/下载中心</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color w:val="000000"/>
                <w:sz w:val="28"/>
                <w:szCs w:val="28"/>
              </w:rPr>
            </w:pPr>
            <w:r>
              <w:rPr>
                <w:rFonts w:hint="eastAsia" w:ascii="仿宋" w:hAnsi="仿宋" w:eastAsia="仿宋" w:cs="仿宋"/>
                <w:snapToGrid w:val="0"/>
                <w:color w:val="000000"/>
                <w:kern w:val="0"/>
                <w:sz w:val="28"/>
                <w:szCs w:val="28"/>
                <w:lang w:bidi="ar"/>
              </w:rPr>
              <w:t>提供整个医院采购信息系统中各角色的操作手册下载、常见问题解答等。</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1" w:type="pct"/>
            <w:tcBorders>
              <w:tl2br w:val="nil"/>
              <w:tr2bl w:val="nil"/>
            </w:tcBorders>
            <w:shd w:val="clear" w:color="auto" w:fill="auto"/>
            <w:noWrap/>
            <w:vAlign w:val="center"/>
          </w:tcPr>
          <w:p>
            <w:pPr>
              <w:widowControl/>
              <w:spacing w:line="360" w:lineRule="exact"/>
              <w:ind w:firstLine="280" w:firstLineChars="100"/>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项目管理</w:t>
            </w:r>
          </w:p>
        </w:tc>
        <w:tc>
          <w:tcPr>
            <w:tcW w:w="625" w:type="pct"/>
            <w:tcBorders>
              <w:tl2br w:val="nil"/>
              <w:tr2bl w:val="nil"/>
            </w:tcBorders>
            <w:shd w:val="clear" w:color="auto" w:fill="FFFFFF"/>
            <w:noWrap/>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项目列表</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涵盖所有类别项目、所有进度项目的总列表，方便查看、进入工作流程、全流程节点视图等。</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FF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1" w:type="pct"/>
            <w:vMerge w:val="restart"/>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预算管理</w:t>
            </w: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预算申请</w:t>
            </w:r>
          </w:p>
        </w:tc>
        <w:tc>
          <w:tcPr>
            <w:tcW w:w="3183" w:type="pct"/>
            <w:tcBorders>
              <w:tl2br w:val="nil"/>
              <w:tr2bl w:val="nil"/>
            </w:tcBorders>
            <w:shd w:val="clear" w:color="auto" w:fill="FFFFFF"/>
            <w:vAlign w:val="center"/>
          </w:tcPr>
          <w:p>
            <w:pPr>
              <w:widowControl/>
              <w:spacing w:line="360" w:lineRule="exact"/>
              <w:jc w:val="left"/>
              <w:textAlignment w:val="center"/>
              <w:rPr>
                <w:rFonts w:hint="eastAsia" w:ascii="仿宋" w:hAnsi="仿宋" w:eastAsia="仿宋" w:cs="仿宋"/>
                <w:snapToGrid w:val="0"/>
                <w:color w:val="000000"/>
                <w:kern w:val="0"/>
                <w:sz w:val="28"/>
                <w:szCs w:val="28"/>
                <w:lang w:eastAsia="zh-CN" w:bidi="ar"/>
              </w:rPr>
            </w:pPr>
            <w:r>
              <w:rPr>
                <w:rFonts w:hint="eastAsia" w:ascii="仿宋" w:hAnsi="仿宋" w:eastAsia="仿宋" w:cs="仿宋"/>
                <w:snapToGrid w:val="0"/>
                <w:color w:val="000000"/>
                <w:kern w:val="0"/>
                <w:sz w:val="28"/>
                <w:szCs w:val="28"/>
                <w:lang w:bidi="ar"/>
              </w:rPr>
              <w:t>实现医院各需求科室进行年度及项目预算制定与上报。</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预算调整</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对预算不足或预算超额等特殊情况的管理，功能可实现追加预算或消减预算的管理流程。</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highlight w:val="none"/>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预算汇总及执行情况</w:t>
            </w:r>
          </w:p>
        </w:tc>
        <w:tc>
          <w:tcPr>
            <w:tcW w:w="3183" w:type="pct"/>
            <w:tcBorders>
              <w:tl2br w:val="nil"/>
              <w:tr2bl w:val="nil"/>
            </w:tcBorders>
            <w:shd w:val="clear" w:color="auto" w:fill="FFFFFF"/>
            <w:vAlign w:val="center"/>
          </w:tcPr>
          <w:p>
            <w:pPr>
              <w:widowControl/>
              <w:spacing w:line="360" w:lineRule="exact"/>
              <w:jc w:val="left"/>
              <w:textAlignment w:val="center"/>
              <w:rPr>
                <w:rFonts w:hint="eastAsia" w:ascii="仿宋" w:hAnsi="仿宋" w:eastAsia="仿宋" w:cs="仿宋"/>
                <w:snapToGrid w:val="0"/>
                <w:color w:val="000000"/>
                <w:kern w:val="0"/>
                <w:sz w:val="28"/>
                <w:szCs w:val="28"/>
                <w:highlight w:val="none"/>
                <w:lang w:eastAsia="zh-CN" w:bidi="ar"/>
              </w:rPr>
            </w:pPr>
            <w:r>
              <w:rPr>
                <w:rFonts w:hint="eastAsia" w:ascii="仿宋" w:hAnsi="仿宋" w:eastAsia="仿宋" w:cs="仿宋"/>
                <w:snapToGrid w:val="0"/>
                <w:color w:val="000000"/>
                <w:kern w:val="0"/>
                <w:sz w:val="28"/>
                <w:szCs w:val="28"/>
                <w:highlight w:val="none"/>
                <w:lang w:bidi="ar"/>
              </w:rPr>
              <w:t>各级管理部门根据科室所属进行分类查看。实现对关联预算的采购项目执行情况进行计算，展示各科室采购预算的实际使用及剩余情况。</w:t>
            </w:r>
            <w:r>
              <w:rPr>
                <w:rFonts w:hint="eastAsia" w:ascii="仿宋" w:hAnsi="仿宋" w:eastAsia="仿宋" w:cs="仿宋"/>
                <w:snapToGrid w:val="0"/>
                <w:color w:val="000000"/>
                <w:kern w:val="0"/>
                <w:sz w:val="28"/>
                <w:szCs w:val="28"/>
                <w:highlight w:val="none"/>
                <w:lang w:eastAsia="zh-CN" w:bidi="ar"/>
              </w:rPr>
              <w:t>可根据医院决定，对于科室上报、采购执行中的预算进行标记，如未批复预算、批复金额、已执行预算、执行金额、执行时间等进行标记，便于与之后的采购工作相关联。</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highlight w:val="none"/>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多种方式导入预算</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highlight w:val="none"/>
                <w:lang w:bidi="ar"/>
              </w:rPr>
            </w:pPr>
            <w:r>
              <w:rPr>
                <w:rFonts w:hint="eastAsia" w:ascii="仿宋" w:hAnsi="仿宋" w:eastAsia="仿宋" w:cs="仿宋"/>
                <w:snapToGrid w:val="0"/>
                <w:color w:val="000000"/>
                <w:kern w:val="0"/>
                <w:sz w:val="28"/>
                <w:szCs w:val="28"/>
                <w:highlight w:val="none"/>
                <w:lang w:bidi="ar"/>
              </w:rPr>
              <w:t>支持系统内线上申请、对接OA、</w:t>
            </w:r>
            <w:r>
              <w:rPr>
                <w:rFonts w:hint="eastAsia" w:ascii="仿宋" w:hAnsi="仿宋" w:eastAsia="仿宋" w:cs="仿宋"/>
                <w:snapToGrid w:val="0"/>
                <w:color w:val="000000"/>
                <w:kern w:val="0"/>
                <w:sz w:val="28"/>
                <w:szCs w:val="28"/>
                <w:highlight w:val="none"/>
                <w:lang w:val="en-US" w:eastAsia="zh-CN" w:bidi="ar"/>
              </w:rPr>
              <w:t>HRP</w:t>
            </w:r>
            <w:r>
              <w:rPr>
                <w:rFonts w:hint="eastAsia" w:ascii="仿宋" w:hAnsi="仿宋" w:eastAsia="仿宋" w:cs="仿宋"/>
                <w:snapToGrid w:val="0"/>
                <w:color w:val="000000"/>
                <w:kern w:val="0"/>
                <w:sz w:val="28"/>
                <w:szCs w:val="28"/>
                <w:highlight w:val="none"/>
                <w:lang w:bidi="ar"/>
              </w:rPr>
              <w:t>系统完成审批流后导入Excel。</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1" w:type="pct"/>
            <w:vMerge w:val="restart"/>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可行性论证</w:t>
            </w: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关联预算信息</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支持数据关联选择的预算信息，减少输入操作，提高效率，并对预算执行进度管理，展示各科室采购预算的实际使用情况。</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可行性研究报告备案管理</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可根据医院不同类型可行性研究报告，自动生成对应的结构模块，生成一份可编辑的可行性研究报告，减少采购人员编辑工作量。</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1" w:type="pct"/>
            <w:vMerge w:val="restart"/>
            <w:tcBorders>
              <w:tl2br w:val="nil"/>
              <w:tr2bl w:val="nil"/>
            </w:tcBorders>
            <w:shd w:val="clear" w:color="auto" w:fill="auto"/>
            <w:noWrap/>
            <w:vAlign w:val="center"/>
          </w:tcPr>
          <w:p>
            <w:pPr>
              <w:spacing w:line="360" w:lineRule="exact"/>
              <w:jc w:val="center"/>
              <w:rPr>
                <w:rFonts w:ascii="仿宋" w:hAnsi="仿宋" w:eastAsia="仿宋" w:cs="仿宋"/>
                <w:b/>
                <w:bCs/>
                <w:snapToGrid w:val="0"/>
                <w:color w:val="000000"/>
                <w:kern w:val="0"/>
                <w:sz w:val="28"/>
                <w:szCs w:val="28"/>
                <w:lang w:bidi="ar"/>
              </w:rPr>
            </w:pPr>
            <w:r>
              <w:rPr>
                <w:rFonts w:hint="eastAsia" w:ascii="仿宋" w:hAnsi="仿宋" w:eastAsia="仿宋" w:cs="仿宋"/>
                <w:color w:val="000000"/>
                <w:sz w:val="28"/>
                <w:szCs w:val="28"/>
              </w:rPr>
              <w:t>市场调查</w:t>
            </w:r>
          </w:p>
        </w:tc>
        <w:tc>
          <w:tcPr>
            <w:tcW w:w="625" w:type="pct"/>
            <w:tcBorders>
              <w:tl2br w:val="nil"/>
              <w:tr2bl w:val="nil"/>
            </w:tcBorders>
            <w:shd w:val="clear" w:color="auto" w:fill="auto"/>
            <w:noWrap/>
            <w:vAlign w:val="center"/>
          </w:tcPr>
          <w:p>
            <w:pPr>
              <w:widowControl/>
              <w:spacing w:line="360" w:lineRule="exact"/>
              <w:jc w:val="center"/>
              <w:textAlignment w:val="center"/>
              <w:rPr>
                <w:rFonts w:ascii="仿宋" w:hAnsi="仿宋" w:eastAsia="仿宋" w:cs="仿宋"/>
                <w:b/>
                <w:bCs/>
                <w:snapToGrid w:val="0"/>
                <w:color w:val="000000"/>
                <w:kern w:val="0"/>
                <w:sz w:val="28"/>
                <w:szCs w:val="28"/>
                <w:lang w:bidi="ar"/>
              </w:rPr>
            </w:pPr>
            <w:r>
              <w:rPr>
                <w:rFonts w:hint="eastAsia" w:ascii="仿宋" w:hAnsi="仿宋" w:eastAsia="仿宋" w:cs="仿宋"/>
                <w:color w:val="000000"/>
                <w:sz w:val="28"/>
                <w:szCs w:val="28"/>
              </w:rPr>
              <w:t>发布调查公告</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b/>
                <w:bCs/>
                <w:snapToGrid w:val="0"/>
                <w:color w:val="000000"/>
                <w:kern w:val="0"/>
                <w:sz w:val="28"/>
                <w:szCs w:val="28"/>
                <w:lang w:bidi="ar"/>
              </w:rPr>
            </w:pPr>
            <w:r>
              <w:rPr>
                <w:rFonts w:hint="eastAsia" w:ascii="仿宋" w:hAnsi="仿宋" w:eastAsia="仿宋" w:cs="仿宋"/>
                <w:snapToGrid w:val="0"/>
                <w:color w:val="000000"/>
                <w:kern w:val="0"/>
                <w:sz w:val="28"/>
                <w:szCs w:val="28"/>
                <w:lang w:bidi="ar"/>
              </w:rPr>
              <w:t>设置项目调查公告相关参数，例如项目公告标题、市场调查的方式（咨询论证、市场调查、委托第三方）、发布媒体、时间设置等。</w:t>
            </w:r>
          </w:p>
        </w:tc>
        <w:tc>
          <w:tcPr>
            <w:tcW w:w="341" w:type="pct"/>
            <w:tcBorders>
              <w:tl2br w:val="nil"/>
              <w:tr2bl w:val="nil"/>
            </w:tcBorders>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b/>
                <w:bCs/>
                <w:snapToGrid w:val="0"/>
                <w:color w:val="000000"/>
                <w:kern w:val="0"/>
                <w:sz w:val="28"/>
                <w:szCs w:val="28"/>
                <w:lang w:bidi="ar"/>
              </w:rPr>
            </w:pPr>
          </w:p>
        </w:tc>
        <w:tc>
          <w:tcPr>
            <w:tcW w:w="625" w:type="pct"/>
            <w:tcBorders>
              <w:tl2br w:val="nil"/>
              <w:tr2bl w:val="nil"/>
            </w:tcBorders>
            <w:shd w:val="clear" w:color="auto" w:fill="auto"/>
            <w:noWrap/>
            <w:vAlign w:val="center"/>
          </w:tcPr>
          <w:p>
            <w:pPr>
              <w:widowControl/>
              <w:spacing w:line="360" w:lineRule="exact"/>
              <w:jc w:val="center"/>
              <w:textAlignment w:val="center"/>
              <w:rPr>
                <w:rFonts w:ascii="仿宋" w:hAnsi="仿宋" w:eastAsia="仿宋" w:cs="仿宋"/>
                <w:b/>
                <w:bCs/>
                <w:snapToGrid w:val="0"/>
                <w:color w:val="000000"/>
                <w:kern w:val="0"/>
                <w:sz w:val="28"/>
                <w:szCs w:val="28"/>
                <w:lang w:bidi="ar"/>
              </w:rPr>
            </w:pPr>
            <w:r>
              <w:rPr>
                <w:rFonts w:hint="eastAsia" w:ascii="仿宋" w:hAnsi="仿宋" w:eastAsia="仿宋" w:cs="仿宋"/>
                <w:color w:val="000000"/>
                <w:sz w:val="28"/>
                <w:szCs w:val="28"/>
              </w:rPr>
              <w:t>设置需求调查响应信息</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b/>
                <w:bCs/>
                <w:snapToGrid w:val="0"/>
                <w:color w:val="000000"/>
                <w:kern w:val="0"/>
                <w:sz w:val="28"/>
                <w:szCs w:val="28"/>
                <w:lang w:bidi="ar"/>
              </w:rPr>
            </w:pPr>
            <w:r>
              <w:rPr>
                <w:rFonts w:hint="eastAsia" w:ascii="仿宋" w:hAnsi="仿宋" w:eastAsia="仿宋" w:cs="仿宋"/>
                <w:snapToGrid w:val="0"/>
                <w:color w:val="000000"/>
                <w:kern w:val="0"/>
                <w:sz w:val="28"/>
                <w:szCs w:val="28"/>
                <w:lang w:bidi="ar"/>
              </w:rPr>
              <w:t>可勾选设置需要供应商响应的信息类别，包括：总体信息、价格信息、商务信息、技术信息，并生成。</w:t>
            </w:r>
          </w:p>
        </w:tc>
        <w:tc>
          <w:tcPr>
            <w:tcW w:w="341" w:type="pct"/>
            <w:tcBorders>
              <w:tl2br w:val="nil"/>
              <w:tr2bl w:val="nil"/>
            </w:tcBorders>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b/>
                <w:bCs/>
                <w:snapToGrid w:val="0"/>
                <w:color w:val="000000"/>
                <w:kern w:val="0"/>
                <w:sz w:val="28"/>
                <w:szCs w:val="28"/>
                <w:lang w:bidi="ar"/>
              </w:rPr>
            </w:pPr>
          </w:p>
        </w:tc>
        <w:tc>
          <w:tcPr>
            <w:tcW w:w="625" w:type="pct"/>
            <w:tcBorders>
              <w:tl2br w:val="nil"/>
              <w:tr2bl w:val="nil"/>
            </w:tcBorders>
            <w:shd w:val="clear" w:color="auto" w:fill="auto"/>
            <w:noWrap/>
            <w:vAlign w:val="center"/>
          </w:tcPr>
          <w:p>
            <w:pPr>
              <w:widowControl/>
              <w:spacing w:line="36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供应商线上响应</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color w:val="000000"/>
                <w:sz w:val="28"/>
                <w:szCs w:val="28"/>
              </w:rPr>
              <w:t>供应商线上登录采购系统，对需求调查公告模块，按框架内容进行线上响应。</w:t>
            </w:r>
          </w:p>
        </w:tc>
        <w:tc>
          <w:tcPr>
            <w:tcW w:w="341" w:type="pct"/>
            <w:tcBorders>
              <w:tl2br w:val="nil"/>
              <w:tr2bl w:val="nil"/>
            </w:tcBorders>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b/>
                <w:bCs/>
                <w:snapToGrid w:val="0"/>
                <w:color w:val="000000"/>
                <w:kern w:val="0"/>
                <w:sz w:val="28"/>
                <w:szCs w:val="28"/>
                <w:lang w:bidi="ar"/>
              </w:rPr>
            </w:pPr>
          </w:p>
        </w:tc>
        <w:tc>
          <w:tcPr>
            <w:tcW w:w="625" w:type="pct"/>
            <w:tcBorders>
              <w:tl2br w:val="nil"/>
              <w:tr2bl w:val="nil"/>
            </w:tcBorders>
            <w:shd w:val="clear" w:color="auto" w:fill="auto"/>
            <w:noWrap/>
            <w:vAlign w:val="center"/>
          </w:tcPr>
          <w:p>
            <w:pPr>
              <w:widowControl/>
              <w:spacing w:line="360" w:lineRule="exact"/>
              <w:jc w:val="center"/>
              <w:textAlignment w:val="center"/>
              <w:rPr>
                <w:rFonts w:ascii="仿宋" w:hAnsi="仿宋" w:eastAsia="仿宋" w:cs="仿宋"/>
                <w:sz w:val="28"/>
                <w:szCs w:val="28"/>
              </w:rPr>
            </w:pPr>
            <w:r>
              <w:rPr>
                <w:rFonts w:hint="eastAsia" w:ascii="仿宋" w:hAnsi="仿宋" w:eastAsia="仿宋" w:cs="仿宋"/>
                <w:sz w:val="28"/>
                <w:szCs w:val="28"/>
              </w:rPr>
              <w:t>采购需求调查专家评审</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z w:val="28"/>
                <w:szCs w:val="28"/>
              </w:rPr>
            </w:pPr>
            <w:r>
              <w:rPr>
                <w:rFonts w:hint="eastAsia" w:ascii="仿宋" w:hAnsi="仿宋" w:eastAsia="仿宋" w:cs="仿宋"/>
                <w:sz w:val="28"/>
                <w:szCs w:val="28"/>
              </w:rPr>
              <w:t>供应商提交采购需求调查响应文件后，进行专家抽取，由抽取的专家对采购需求调查响应文件进行线下评审，将线下评审结果进行汇总及录入系统</w:t>
            </w:r>
          </w:p>
        </w:tc>
        <w:tc>
          <w:tcPr>
            <w:tcW w:w="341" w:type="pct"/>
            <w:tcBorders>
              <w:tl2br w:val="nil"/>
              <w:tr2bl w:val="nil"/>
            </w:tcBorders>
          </w:tcPr>
          <w:p>
            <w:pPr>
              <w:widowControl/>
              <w:spacing w:line="360" w:lineRule="exact"/>
              <w:jc w:val="left"/>
              <w:textAlignment w:val="center"/>
              <w:rPr>
                <w:rFonts w:ascii="仿宋" w:hAnsi="仿宋" w:eastAsia="仿宋" w:cs="仿宋"/>
                <w:snapToGrid w:val="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b/>
                <w:bCs/>
                <w:snapToGrid w:val="0"/>
                <w:color w:val="000000"/>
                <w:kern w:val="0"/>
                <w:sz w:val="28"/>
                <w:szCs w:val="28"/>
                <w:lang w:bidi="ar"/>
              </w:rPr>
            </w:pPr>
          </w:p>
        </w:tc>
        <w:tc>
          <w:tcPr>
            <w:tcW w:w="625" w:type="pct"/>
            <w:tcBorders>
              <w:tl2br w:val="nil"/>
              <w:tr2bl w:val="nil"/>
            </w:tcBorders>
            <w:shd w:val="clear" w:color="auto" w:fill="auto"/>
            <w:noWrap/>
            <w:vAlign w:val="center"/>
          </w:tcPr>
          <w:p>
            <w:pPr>
              <w:widowControl/>
              <w:spacing w:line="360" w:lineRule="exact"/>
              <w:jc w:val="center"/>
              <w:textAlignment w:val="center"/>
              <w:rPr>
                <w:rFonts w:ascii="仿宋" w:hAnsi="仿宋" w:eastAsia="仿宋" w:cs="仿宋"/>
                <w:sz w:val="28"/>
                <w:szCs w:val="28"/>
              </w:rPr>
            </w:pPr>
            <w:r>
              <w:rPr>
                <w:rFonts w:hint="eastAsia" w:ascii="仿宋" w:hAnsi="仿宋" w:eastAsia="仿宋" w:cs="仿宋"/>
                <w:sz w:val="28"/>
                <w:szCs w:val="28"/>
              </w:rPr>
              <w:t>需求参数与控制价确定</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z w:val="28"/>
                <w:szCs w:val="28"/>
              </w:rPr>
            </w:pPr>
            <w:r>
              <w:rPr>
                <w:rFonts w:hint="eastAsia" w:ascii="仿宋" w:hAnsi="仿宋" w:eastAsia="仿宋" w:cs="仿宋"/>
                <w:sz w:val="28"/>
                <w:szCs w:val="28"/>
              </w:rPr>
              <w:t>完成需求线上调查后，可生成项目需求参数与控制价。</w:t>
            </w:r>
          </w:p>
        </w:tc>
        <w:tc>
          <w:tcPr>
            <w:tcW w:w="341" w:type="pct"/>
            <w:tcBorders>
              <w:tl2br w:val="nil"/>
              <w:tr2bl w:val="nil"/>
            </w:tcBorders>
          </w:tcPr>
          <w:p>
            <w:pPr>
              <w:widowControl/>
              <w:spacing w:line="360" w:lineRule="exact"/>
              <w:jc w:val="left"/>
              <w:textAlignment w:val="center"/>
              <w:rPr>
                <w:rFonts w:ascii="仿宋" w:hAnsi="仿宋" w:eastAsia="仿宋" w:cs="仿宋"/>
                <w:snapToGrid w:val="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b/>
                <w:bCs/>
                <w:snapToGrid w:val="0"/>
                <w:color w:val="000000"/>
                <w:kern w:val="0"/>
                <w:sz w:val="28"/>
                <w:szCs w:val="28"/>
                <w:lang w:bidi="ar"/>
              </w:rPr>
            </w:pPr>
          </w:p>
        </w:tc>
        <w:tc>
          <w:tcPr>
            <w:tcW w:w="625" w:type="pct"/>
            <w:tcBorders>
              <w:tl2br w:val="nil"/>
              <w:tr2bl w:val="nil"/>
            </w:tcBorders>
            <w:shd w:val="clear" w:color="auto" w:fill="auto"/>
            <w:noWrap/>
            <w:vAlign w:val="center"/>
          </w:tcPr>
          <w:p>
            <w:pPr>
              <w:widowControl/>
              <w:spacing w:line="360" w:lineRule="exact"/>
              <w:jc w:val="center"/>
              <w:textAlignment w:val="center"/>
              <w:rPr>
                <w:rFonts w:ascii="仿宋" w:hAnsi="仿宋" w:eastAsia="仿宋" w:cs="仿宋"/>
                <w:sz w:val="28"/>
                <w:szCs w:val="28"/>
              </w:rPr>
            </w:pPr>
            <w:r>
              <w:rPr>
                <w:rFonts w:hint="eastAsia" w:ascii="仿宋" w:hAnsi="仿宋" w:eastAsia="仿宋" w:cs="仿宋"/>
                <w:sz w:val="28"/>
                <w:szCs w:val="28"/>
              </w:rPr>
              <w:t>进口设备采购论证/单一来源采购论证</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z w:val="28"/>
                <w:szCs w:val="28"/>
              </w:rPr>
            </w:pPr>
            <w:r>
              <w:rPr>
                <w:rFonts w:hint="eastAsia" w:ascii="仿宋" w:hAnsi="仿宋" w:eastAsia="仿宋" w:cs="仿宋"/>
                <w:sz w:val="28"/>
                <w:szCs w:val="28"/>
              </w:rPr>
              <w:t>发起论证，添加论证人员，上传论证报告，对论证人员会签材料进行上传</w:t>
            </w:r>
          </w:p>
        </w:tc>
        <w:tc>
          <w:tcPr>
            <w:tcW w:w="341" w:type="pct"/>
            <w:tcBorders>
              <w:tl2br w:val="nil"/>
              <w:tr2bl w:val="nil"/>
            </w:tcBorders>
          </w:tcPr>
          <w:p>
            <w:pPr>
              <w:widowControl/>
              <w:spacing w:line="360" w:lineRule="exact"/>
              <w:jc w:val="left"/>
              <w:textAlignment w:val="center"/>
              <w:rPr>
                <w:rFonts w:ascii="仿宋" w:hAnsi="仿宋" w:eastAsia="仿宋" w:cs="仿宋"/>
                <w:snapToGrid w:val="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0" w:hRule="atLeast"/>
          <w:jc w:val="center"/>
        </w:trPr>
        <w:tc>
          <w:tcPr>
            <w:tcW w:w="851" w:type="pct"/>
            <w:vMerge w:val="restart"/>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采购实施</w:t>
            </w: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snapToGrid w:val="0"/>
                <w:color w:val="000000"/>
                <w:kern w:val="0"/>
                <w:sz w:val="28"/>
                <w:szCs w:val="28"/>
                <w:highlight w:val="none"/>
                <w:lang w:bidi="ar"/>
              </w:rPr>
            </w:pPr>
            <w:r>
              <w:rPr>
                <w:rFonts w:hint="eastAsia" w:ascii="仿宋" w:hAnsi="仿宋" w:eastAsia="仿宋" w:cs="仿宋"/>
                <w:snapToGrid w:val="0"/>
                <w:color w:val="000000"/>
                <w:kern w:val="0"/>
                <w:sz w:val="28"/>
                <w:szCs w:val="28"/>
                <w:highlight w:val="none"/>
                <w:lang w:bidi="ar"/>
              </w:rPr>
              <w:t>采购项目立项</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highlight w:val="none"/>
                <w:lang w:bidi="ar"/>
              </w:rPr>
            </w:pPr>
            <w:r>
              <w:rPr>
                <w:rFonts w:hint="eastAsia" w:ascii="仿宋" w:hAnsi="仿宋" w:eastAsia="仿宋" w:cs="仿宋"/>
                <w:snapToGrid w:val="0"/>
                <w:color w:val="000000"/>
                <w:kern w:val="0"/>
                <w:sz w:val="28"/>
                <w:szCs w:val="28"/>
                <w:highlight w:val="none"/>
                <w:lang w:eastAsia="zh-CN" w:bidi="ar"/>
              </w:rPr>
              <w:t>与</w:t>
            </w:r>
            <w:r>
              <w:rPr>
                <w:rFonts w:hint="eastAsia" w:ascii="仿宋" w:hAnsi="仿宋" w:eastAsia="仿宋" w:cs="仿宋"/>
                <w:snapToGrid w:val="0"/>
                <w:color w:val="000000"/>
                <w:kern w:val="0"/>
                <w:sz w:val="28"/>
                <w:szCs w:val="28"/>
                <w:highlight w:val="none"/>
                <w:lang w:val="en-US" w:eastAsia="zh-CN" w:bidi="ar"/>
              </w:rPr>
              <w:t>OA对接，</w:t>
            </w:r>
            <w:r>
              <w:rPr>
                <w:rFonts w:hint="eastAsia" w:ascii="仿宋" w:hAnsi="仿宋" w:eastAsia="仿宋" w:cs="仿宋"/>
                <w:snapToGrid w:val="0"/>
                <w:color w:val="000000"/>
                <w:kern w:val="0"/>
                <w:sz w:val="28"/>
                <w:szCs w:val="28"/>
                <w:highlight w:val="none"/>
                <w:lang w:bidi="ar"/>
              </w:rPr>
              <w:t>对已完成的采购需求、需求调查，进行项目立项登记（对已完成的需求申报，自动导入对应数据但可修改），并支持从历史项目复制，减少录入操作。</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招标文件上传</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支持招标文件线下编制上传备案及线上供应商下载。</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4"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各类采购公告发布</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系统可根据预制公告模板生成所有公告类信息。支持通过接口自动推送发布到医院官网</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6"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供应商线上报名</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供应商可在采购门户网站进行项目的信息查看、报名、报价等操作，支持供应商线上响应采购公告，并支持线上支付标书费以及线上缴纳投标保证金。根据医院的项目发布方式，可进行多种投标方式参与，可进行加密投标文件递交、线上报价单递交（支持“全品目报价”“部分品目报价”）、线上谈判文件递交、线上议价、多轮报价等各类模式。</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4"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供应商线上编写标书</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供应商可在采购人或代理机构发布的招标项目中，自动生成投标文件目录，并对采购文件中要求的重要节点，强制进行响应，减少供应商错失评分点资料上传等，并在完成电子投标文件后，可在线进行文件签章加密，实现文件的线上保密工作，做到线上模拟解密等辅助功能，给供应商投标减少投标失误。</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4"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CA认证</w:t>
            </w:r>
          </w:p>
        </w:tc>
        <w:tc>
          <w:tcPr>
            <w:tcW w:w="3183" w:type="pct"/>
            <w:tcBorders>
              <w:tl2br w:val="nil"/>
              <w:tr2bl w:val="nil"/>
            </w:tcBorders>
            <w:shd w:val="clear" w:color="auto" w:fill="FFFFFF"/>
            <w:vAlign w:val="center"/>
          </w:tcPr>
          <w:p>
            <w:pPr>
              <w:widowControl/>
              <w:spacing w:line="360" w:lineRule="exact"/>
              <w:jc w:val="left"/>
              <w:textAlignment w:val="center"/>
              <w:rPr>
                <w:lang w:bidi="ar"/>
              </w:rPr>
            </w:pPr>
            <w:r>
              <w:rPr>
                <w:rFonts w:hint="eastAsia" w:ascii="仿宋" w:hAnsi="仿宋" w:eastAsia="仿宋" w:cs="仿宋"/>
                <w:snapToGrid w:val="0"/>
                <w:color w:val="000000"/>
                <w:kern w:val="0"/>
                <w:sz w:val="28"/>
                <w:szCs w:val="28"/>
                <w:lang w:bidi="ar"/>
              </w:rPr>
              <w:t>支持使用CA对供应商进行身份认证管理，也可通过短信方式进行认证。</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4"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线上电子开标</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1）开标</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开标前需要完成专家抽取，进入对应项目的项目详情，选择“开标”节点，点击“进入开标大厅”，解密可选择现场解密（供应商在现场电脑上插入CA锁或使用移动CA进行 “解密”）或远程解密（供应商可在任何地点登录平台进入开标大厅进行自行解密）。</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全部解密完成后点击“开标一览表”，进行自动语音唱标（开标厅需接入外放音响），把开标现场各环节进行系统自动播报。唱标结束后，完成后点击“开标结束”按钮完成开标环节。</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开标过程需要与供应商进行沟通，可点击右上角“开标对话”按钮，可在对话框中选择对“全部投标单位”进行沟通还是选择对“某个供应商”沟通。</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备注：输入框支持文字和文件上传方式，确认无误后点击“发送按钮”，供应商可在对话框中查看相应信息。</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4"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在线电子评标</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评标</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开标结束后返回项目详情页面，可通过“专家抽取”、或“手动添加”的方式抽取专家；录入完成后待专家到达评标室后点击“开始评标”按钮，评标专家则可登录专家工作台“进入评标大厅”。</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进入评审后，各专家推荐组长，推荐完成后开始评审活动，在评审过程中如需对供应商进行线上询标，可点击“询标”按钮，支持文字和附件方式进行沟通交流。</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评标委员会评标结束后，可前往评标大厅生成评审报告（评标报告系统自动生成可编辑内容，如存在修改，也可修改完善后，点击“生成”按钮即可）。</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专家可通过线上签字或线下签字双重模式进行。</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4"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定标</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可进入项目详情，“添加供应商”进行选择候选供应商。</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添加后可通过右侧上下移调整排序（用于入围多中标单位情况），并填写中标价，完成后候选公示内容可自动生成（根据项目类型进行配置），点“发布”即可。</w:t>
            </w:r>
          </w:p>
          <w:p>
            <w:pPr>
              <w:widowControl/>
              <w:spacing w:line="360" w:lineRule="exact"/>
              <w:jc w:val="left"/>
              <w:textAlignment w:val="center"/>
              <w:rPr>
                <w:rFonts w:ascii="仿宋" w:hAnsi="仿宋" w:eastAsia="仿宋" w:cs="仿宋"/>
                <w:snapToGrid w:val="0"/>
                <w:color w:val="000000"/>
                <w:kern w:val="0"/>
                <w:sz w:val="28"/>
                <w:szCs w:val="28"/>
                <w:lang w:bidi="ar"/>
              </w:rPr>
            </w:pP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4"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线上发送结果</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中标结果通知</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候选公示发布后，可进一步发布中标结果通知，默认候选供应商排序第一的为中标单位，或通过添加供应商来修改或添加其他候选单位。</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中标通知书可选择三种发布方式：自定义编辑、线上上传、线下邮寄。</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4"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项目变更处理</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bookmarkStart w:id="0" w:name="_Toc14307"/>
            <w:r>
              <w:rPr>
                <w:rFonts w:hint="eastAsia" w:ascii="仿宋" w:hAnsi="仿宋" w:eastAsia="仿宋" w:cs="仿宋"/>
                <w:snapToGrid w:val="0"/>
                <w:color w:val="000000"/>
                <w:kern w:val="0"/>
                <w:sz w:val="28"/>
                <w:szCs w:val="28"/>
                <w:lang w:bidi="ar"/>
              </w:rPr>
              <w:t>信息变更和异常处理</w:t>
            </w:r>
            <w:bookmarkEnd w:id="0"/>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项目发布后，可操作“查看详情”进入项目详情页面查看项目信息；</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如项目文件需要进行调整，可操作招标文件澄清，能修改开标时间、上传最新的澄清文件等。</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如项目需要发布变更公告，可操作变更公告，也可修改报名时间和开标时间。</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4"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项目异常处理</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如项目需要进行流标，可操作“异常”，选择“流标处理”。</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可操作选择是否对外发布流标公示，并流标处理可选择“重新招标”或“终止招标”。</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4"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项目一键归档</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系统自动对采购计划开始、需求调研过程、立项、采购交易流程、合同签订等各环节，自动记录各过程的操作和审批记录进行归类，形成一个项目压缩包，并自动生成项目文件夹</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1"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FFFFFF"/>
            <w:noWrap/>
            <w:vAlign w:val="center"/>
          </w:tcPr>
          <w:p>
            <w:pPr>
              <w:widowControl/>
              <w:spacing w:line="360" w:lineRule="exact"/>
              <w:jc w:val="center"/>
              <w:textAlignment w:val="center"/>
              <w:rPr>
                <w:rFonts w:ascii="仿宋" w:hAnsi="仿宋" w:eastAsia="仿宋" w:cs="仿宋"/>
                <w:snapToGrid w:val="0"/>
                <w:color w:val="000000"/>
                <w:kern w:val="0"/>
                <w:sz w:val="28"/>
                <w:szCs w:val="28"/>
                <w:lang w:bidi="ar"/>
              </w:rPr>
            </w:pPr>
            <w:r>
              <w:rPr>
                <w:rFonts w:hint="eastAsia" w:ascii="仿宋" w:hAnsi="仿宋" w:eastAsia="仿宋" w:cs="仿宋"/>
                <w:color w:val="000000"/>
                <w:sz w:val="28"/>
                <w:szCs w:val="28"/>
              </w:rPr>
              <w:t>线下档案上传</w:t>
            </w:r>
          </w:p>
        </w:tc>
        <w:tc>
          <w:tcPr>
            <w:tcW w:w="3183" w:type="pct"/>
            <w:tcBorders>
              <w:tl2br w:val="nil"/>
              <w:tr2bl w:val="nil"/>
            </w:tcBorders>
            <w:shd w:val="clear" w:color="auto" w:fill="FFFFFF"/>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实现对线下非系统产生的审批记录表、过程文件等线下资料进行上传。</w:t>
            </w:r>
          </w:p>
        </w:tc>
        <w:tc>
          <w:tcPr>
            <w:tcW w:w="341" w:type="pct"/>
            <w:tcBorders>
              <w:tl2br w:val="nil"/>
              <w:tr2bl w:val="nil"/>
            </w:tcBorders>
            <w:shd w:val="clear" w:color="auto" w:fill="FFFFFF"/>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0" w:hRule="atLeast"/>
          <w:jc w:val="center"/>
        </w:trPr>
        <w:tc>
          <w:tcPr>
            <w:tcW w:w="851" w:type="pct"/>
            <w:vMerge w:val="restart"/>
            <w:tcBorders>
              <w:tl2br w:val="nil"/>
              <w:tr2bl w:val="nil"/>
            </w:tcBorders>
            <w:shd w:val="clear" w:color="auto" w:fill="auto"/>
            <w:noWrap/>
            <w:vAlign w:val="center"/>
          </w:tcPr>
          <w:p>
            <w:pPr>
              <w:spacing w:line="320" w:lineRule="exact"/>
              <w:jc w:val="center"/>
              <w:textAlignment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合同及验收管理</w:t>
            </w:r>
          </w:p>
        </w:tc>
        <w:tc>
          <w:tcPr>
            <w:tcW w:w="625" w:type="pct"/>
            <w:tcBorders>
              <w:tl2br w:val="nil"/>
              <w:tr2bl w:val="nil"/>
            </w:tcBorders>
            <w:shd w:val="clear" w:color="auto" w:fill="auto"/>
            <w:noWrap/>
            <w:vAlign w:val="center"/>
          </w:tcPr>
          <w:p>
            <w:pPr>
              <w:widowControl/>
              <w:spacing w:line="360" w:lineRule="exact"/>
              <w:jc w:val="center"/>
              <w:textAlignment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合同签订及备案管理</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napToGrid w:val="0"/>
                <w:color w:val="000000"/>
                <w:kern w:val="0"/>
                <w:sz w:val="28"/>
                <w:szCs w:val="28"/>
                <w:highlight w:val="none"/>
                <w:lang w:bidi="ar"/>
              </w:rPr>
            </w:pPr>
            <w:r>
              <w:rPr>
                <w:rFonts w:hint="eastAsia" w:ascii="仿宋" w:hAnsi="仿宋" w:eastAsia="仿宋" w:cs="仿宋"/>
                <w:snapToGrid w:val="0"/>
                <w:color w:val="000000"/>
                <w:kern w:val="0"/>
                <w:sz w:val="28"/>
                <w:szCs w:val="28"/>
                <w:highlight w:val="none"/>
                <w:lang w:bidi="ar"/>
              </w:rPr>
              <w:t>对接合同管理系统</w:t>
            </w:r>
            <w:r>
              <w:rPr>
                <w:rFonts w:hint="eastAsia" w:ascii="仿宋" w:hAnsi="仿宋" w:eastAsia="仿宋" w:cs="仿宋"/>
                <w:snapToGrid w:val="0"/>
                <w:color w:val="000000"/>
                <w:kern w:val="0"/>
                <w:sz w:val="28"/>
                <w:szCs w:val="28"/>
                <w:highlight w:val="none"/>
                <w:lang w:eastAsia="zh-CN" w:bidi="ar"/>
              </w:rPr>
              <w:t>及</w:t>
            </w:r>
            <w:r>
              <w:rPr>
                <w:rFonts w:hint="eastAsia" w:ascii="仿宋" w:hAnsi="仿宋" w:eastAsia="仿宋" w:cs="仿宋"/>
                <w:snapToGrid w:val="0"/>
                <w:color w:val="000000"/>
                <w:kern w:val="0"/>
                <w:sz w:val="28"/>
                <w:szCs w:val="28"/>
                <w:highlight w:val="none"/>
                <w:lang w:val="en-US" w:eastAsia="zh-CN" w:bidi="ar"/>
              </w:rPr>
              <w:t>OA系统</w:t>
            </w:r>
            <w:r>
              <w:rPr>
                <w:rFonts w:hint="eastAsia" w:ascii="仿宋" w:hAnsi="仿宋" w:eastAsia="仿宋" w:cs="仿宋"/>
                <w:snapToGrid w:val="0"/>
                <w:color w:val="000000"/>
                <w:kern w:val="0"/>
                <w:sz w:val="28"/>
                <w:szCs w:val="28"/>
                <w:highlight w:val="none"/>
                <w:lang w:bidi="ar"/>
              </w:rPr>
              <w:t>，获取采购合同签订信息。</w:t>
            </w:r>
          </w:p>
        </w:tc>
        <w:tc>
          <w:tcPr>
            <w:tcW w:w="341" w:type="pct"/>
            <w:tcBorders>
              <w:tl2br w:val="nil"/>
              <w:tr2bl w:val="nil"/>
            </w:tcBorders>
          </w:tcPr>
          <w:p>
            <w:pPr>
              <w:widowControl/>
              <w:spacing w:line="300" w:lineRule="exac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5" w:hRule="atLeast"/>
          <w:jc w:val="center"/>
        </w:trPr>
        <w:tc>
          <w:tcPr>
            <w:tcW w:w="851" w:type="pct"/>
            <w:vMerge w:val="continue"/>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highlight w:val="none"/>
              </w:rPr>
            </w:pP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验收实施与记录管理</w:t>
            </w:r>
          </w:p>
        </w:tc>
        <w:tc>
          <w:tcPr>
            <w:tcW w:w="3183" w:type="pct"/>
            <w:tcBorders>
              <w:tl2br w:val="nil"/>
              <w:tr2bl w:val="nil"/>
            </w:tcBorders>
            <w:shd w:val="clear" w:color="auto" w:fill="auto"/>
            <w:vAlign w:val="center"/>
          </w:tcPr>
          <w:p>
            <w:pPr>
              <w:widowControl/>
              <w:spacing w:line="360" w:lineRule="exact"/>
              <w:jc w:val="left"/>
              <w:textAlignment w:val="center"/>
              <w:rPr>
                <w:rFonts w:hint="eastAsia" w:ascii="仿宋" w:hAnsi="仿宋" w:eastAsia="仿宋" w:cs="仿宋"/>
                <w:snapToGrid w:val="0"/>
                <w:color w:val="000000"/>
                <w:kern w:val="0"/>
                <w:sz w:val="28"/>
                <w:szCs w:val="28"/>
                <w:highlight w:val="none"/>
                <w:lang w:val="en-US" w:eastAsia="zh-CN" w:bidi="ar"/>
              </w:rPr>
            </w:pPr>
            <w:r>
              <w:rPr>
                <w:rFonts w:hint="eastAsia" w:ascii="仿宋" w:hAnsi="仿宋" w:eastAsia="仿宋" w:cs="仿宋"/>
                <w:snapToGrid w:val="0"/>
                <w:color w:val="000000"/>
                <w:kern w:val="0"/>
                <w:sz w:val="28"/>
                <w:szCs w:val="28"/>
                <w:highlight w:val="none"/>
                <w:lang w:bidi="ar"/>
              </w:rPr>
              <w:t>线上制定验收实施节点，明确各实施过程中的交付的标准和要求，明确各方在验收过程中的职责和任务，确保各方按照既定的计划和标准开展验收工作，通过线上管理验收项目材料，确保验收流程附件齐全。实时记录，随时了解项目在各个阶段的质量是否达到预期目标</w:t>
            </w:r>
            <w:r>
              <w:rPr>
                <w:rFonts w:hint="eastAsia" w:ascii="仿宋" w:hAnsi="仿宋" w:eastAsia="仿宋" w:cs="仿宋"/>
                <w:snapToGrid w:val="0"/>
                <w:color w:val="000000"/>
                <w:kern w:val="0"/>
                <w:sz w:val="28"/>
                <w:szCs w:val="28"/>
                <w:highlight w:val="none"/>
                <w:lang w:eastAsia="zh-CN" w:bidi="ar"/>
              </w:rPr>
              <w:t>，</w:t>
            </w:r>
            <w:r>
              <w:rPr>
                <w:rFonts w:hint="eastAsia" w:ascii="仿宋" w:hAnsi="仿宋" w:eastAsia="仿宋" w:cs="仿宋"/>
                <w:snapToGrid w:val="0"/>
                <w:color w:val="000000"/>
                <w:kern w:val="0"/>
                <w:sz w:val="28"/>
                <w:szCs w:val="28"/>
                <w:highlight w:val="none"/>
                <w:lang w:val="en-US" w:eastAsia="zh-CN" w:bidi="ar"/>
              </w:rPr>
              <w:t>并与HRP</w:t>
            </w:r>
            <w:r>
              <w:rPr>
                <w:rFonts w:hint="eastAsia" w:ascii="仿宋" w:hAnsi="仿宋" w:eastAsia="仿宋" w:cs="仿宋"/>
                <w:snapToGrid w:val="0"/>
                <w:color w:val="000000"/>
                <w:kern w:val="0"/>
                <w:sz w:val="28"/>
                <w:szCs w:val="28"/>
                <w:highlight w:val="none"/>
                <w:lang w:eastAsia="zh-CN" w:bidi="ar"/>
              </w:rPr>
              <w:t>及</w:t>
            </w:r>
            <w:r>
              <w:rPr>
                <w:rFonts w:hint="eastAsia" w:ascii="仿宋" w:hAnsi="仿宋" w:eastAsia="仿宋" w:cs="仿宋"/>
                <w:snapToGrid w:val="0"/>
                <w:color w:val="000000"/>
                <w:kern w:val="0"/>
                <w:sz w:val="28"/>
                <w:szCs w:val="28"/>
                <w:highlight w:val="none"/>
                <w:lang w:val="en-US" w:eastAsia="zh-CN" w:bidi="ar"/>
              </w:rPr>
              <w:t>OA系统对接。</w:t>
            </w:r>
          </w:p>
        </w:tc>
        <w:tc>
          <w:tcPr>
            <w:tcW w:w="341" w:type="pct"/>
            <w:tcBorders>
              <w:tl2br w:val="nil"/>
              <w:tr2bl w:val="nil"/>
            </w:tcBorders>
          </w:tcPr>
          <w:p>
            <w:pPr>
              <w:widowControl/>
              <w:spacing w:line="28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jc w:val="center"/>
        </w:trPr>
        <w:tc>
          <w:tcPr>
            <w:tcW w:w="851" w:type="pct"/>
            <w:vMerge w:val="continue"/>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highlight w:val="none"/>
              </w:rPr>
            </w:pP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sz w:val="28"/>
                <w:szCs w:val="28"/>
                <w:highlight w:val="none"/>
              </w:rPr>
            </w:pPr>
            <w:r>
              <w:rPr>
                <w:rFonts w:hint="eastAsia" w:ascii="仿宋" w:hAnsi="仿宋" w:eastAsia="仿宋" w:cs="仿宋"/>
                <w:sz w:val="28"/>
                <w:szCs w:val="28"/>
                <w:highlight w:val="none"/>
              </w:rPr>
              <w:t>凭证上传</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napToGrid w:val="0"/>
                <w:kern w:val="0"/>
                <w:sz w:val="28"/>
                <w:szCs w:val="28"/>
                <w:highlight w:val="none"/>
                <w:lang w:bidi="ar"/>
              </w:rPr>
            </w:pPr>
            <w:r>
              <w:rPr>
                <w:rFonts w:hint="eastAsia" w:ascii="仿宋" w:hAnsi="仿宋" w:eastAsia="仿宋" w:cs="仿宋"/>
                <w:snapToGrid w:val="0"/>
                <w:kern w:val="0"/>
                <w:sz w:val="28"/>
                <w:szCs w:val="28"/>
                <w:highlight w:val="none"/>
                <w:lang w:bidi="ar"/>
              </w:rPr>
              <w:t>合同、项目付款发票等内容上传至采购平台做收集汇总归档便于审计</w:t>
            </w:r>
            <w:r>
              <w:rPr>
                <w:rFonts w:hint="eastAsia" w:ascii="仿宋" w:hAnsi="仿宋" w:eastAsia="仿宋" w:cs="仿宋"/>
                <w:snapToGrid w:val="0"/>
                <w:color w:val="000000"/>
                <w:kern w:val="0"/>
                <w:sz w:val="28"/>
                <w:szCs w:val="28"/>
                <w:highlight w:val="none"/>
                <w:lang w:eastAsia="zh-CN" w:bidi="ar"/>
              </w:rPr>
              <w:t>，</w:t>
            </w:r>
            <w:r>
              <w:rPr>
                <w:rFonts w:hint="eastAsia" w:ascii="仿宋" w:hAnsi="仿宋" w:eastAsia="仿宋" w:cs="仿宋"/>
                <w:snapToGrid w:val="0"/>
                <w:color w:val="000000"/>
                <w:kern w:val="0"/>
                <w:sz w:val="28"/>
                <w:szCs w:val="28"/>
                <w:highlight w:val="none"/>
                <w:lang w:val="en-US" w:eastAsia="zh-CN" w:bidi="ar"/>
              </w:rPr>
              <w:t>并与HRP</w:t>
            </w:r>
            <w:r>
              <w:rPr>
                <w:rFonts w:hint="eastAsia" w:ascii="仿宋" w:hAnsi="仿宋" w:eastAsia="仿宋" w:cs="仿宋"/>
                <w:snapToGrid w:val="0"/>
                <w:color w:val="000000"/>
                <w:kern w:val="0"/>
                <w:sz w:val="28"/>
                <w:szCs w:val="28"/>
                <w:highlight w:val="none"/>
                <w:lang w:eastAsia="zh-CN" w:bidi="ar"/>
              </w:rPr>
              <w:t>及</w:t>
            </w:r>
            <w:r>
              <w:rPr>
                <w:rFonts w:hint="eastAsia" w:ascii="仿宋" w:hAnsi="仿宋" w:eastAsia="仿宋" w:cs="仿宋"/>
                <w:snapToGrid w:val="0"/>
                <w:color w:val="000000"/>
                <w:kern w:val="0"/>
                <w:sz w:val="28"/>
                <w:szCs w:val="28"/>
                <w:highlight w:val="none"/>
                <w:lang w:val="en-US" w:eastAsia="zh-CN" w:bidi="ar"/>
              </w:rPr>
              <w:t>OA系统对接。</w:t>
            </w:r>
          </w:p>
        </w:tc>
        <w:tc>
          <w:tcPr>
            <w:tcW w:w="341" w:type="pct"/>
            <w:tcBorders>
              <w:tl2br w:val="nil"/>
              <w:tr2bl w:val="nil"/>
            </w:tcBorders>
          </w:tcPr>
          <w:p>
            <w:pPr>
              <w:widowControl/>
              <w:spacing w:line="280" w:lineRule="exact"/>
              <w:jc w:val="left"/>
              <w:textAlignment w:val="center"/>
              <w:rPr>
                <w:rFonts w:ascii="仿宋" w:hAnsi="仿宋" w:eastAsia="仿宋" w:cs="仿宋"/>
                <w:snapToGrid w:val="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8" w:hRule="atLeast"/>
          <w:jc w:val="center"/>
        </w:trPr>
        <w:tc>
          <w:tcPr>
            <w:tcW w:w="851" w:type="pct"/>
            <w:vMerge w:val="restart"/>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专家库</w:t>
            </w: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专家入库管理</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专家在线填写基础资料、证书、职称信息等，并申请入库医院，医院审批后则能进行抽取。</w:t>
            </w:r>
          </w:p>
        </w:tc>
        <w:tc>
          <w:tcPr>
            <w:tcW w:w="341" w:type="pct"/>
            <w:tcBorders>
              <w:tl2br w:val="nil"/>
              <w:tr2bl w:val="nil"/>
            </w:tcBorders>
          </w:tcPr>
          <w:p>
            <w:pPr>
              <w:widowControl/>
              <w:spacing w:line="28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8" w:hRule="atLeast"/>
          <w:jc w:val="center"/>
        </w:trPr>
        <w:tc>
          <w:tcPr>
            <w:tcW w:w="851" w:type="pct"/>
            <w:vMerge w:val="continue"/>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rPr>
            </w:pP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专家信息维护</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在国家标准专业基础上 ，支持医院自定义专家专业，方便进行专家管理。</w:t>
            </w:r>
          </w:p>
        </w:tc>
        <w:tc>
          <w:tcPr>
            <w:tcW w:w="341" w:type="pct"/>
            <w:tcBorders>
              <w:tl2br w:val="nil"/>
              <w:tr2bl w:val="nil"/>
            </w:tcBorders>
          </w:tcPr>
          <w:p>
            <w:pPr>
              <w:widowControl/>
              <w:spacing w:line="28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851" w:type="pct"/>
            <w:vMerge w:val="continue"/>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rPr>
            </w:pP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专家抽取</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支持随机抽取、手动抽取等多种抽取方式 ，集成语音系统自动语音通知专家 ，实时反馈专家参与情况。</w:t>
            </w:r>
          </w:p>
        </w:tc>
        <w:tc>
          <w:tcPr>
            <w:tcW w:w="341" w:type="pct"/>
            <w:tcBorders>
              <w:tl2br w:val="nil"/>
              <w:tr2bl w:val="nil"/>
            </w:tcBorders>
          </w:tcPr>
          <w:p>
            <w:pPr>
              <w:widowControl/>
              <w:spacing w:line="28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851" w:type="pct"/>
            <w:vMerge w:val="continue"/>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rPr>
            </w:pPr>
          </w:p>
        </w:tc>
        <w:tc>
          <w:tcPr>
            <w:tcW w:w="625" w:type="pct"/>
            <w:tcBorders>
              <w:tl2br w:val="nil"/>
              <w:tr2bl w:val="nil"/>
            </w:tcBorders>
            <w:shd w:val="clear" w:color="auto" w:fill="auto"/>
            <w:noWrap/>
            <w:vAlign w:val="center"/>
          </w:tcPr>
          <w:p>
            <w:pPr>
              <w:widowControl/>
              <w:spacing w:line="320" w:lineRule="exact"/>
              <w:textAlignment w:val="center"/>
              <w:rPr>
                <w:rFonts w:ascii="仿宋" w:hAnsi="仿宋" w:eastAsia="仿宋" w:cs="仿宋"/>
                <w:sz w:val="28"/>
                <w:szCs w:val="28"/>
              </w:rPr>
            </w:pPr>
            <w:r>
              <w:rPr>
                <w:rFonts w:hint="eastAsia" w:ascii="仿宋" w:hAnsi="仿宋" w:eastAsia="仿宋" w:cs="仿宋"/>
                <w:sz w:val="28"/>
                <w:szCs w:val="28"/>
              </w:rPr>
              <w:t>特定场景专家抽取及评审</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napToGrid w:val="0"/>
                <w:kern w:val="0"/>
                <w:sz w:val="28"/>
                <w:szCs w:val="28"/>
                <w:lang w:bidi="ar"/>
              </w:rPr>
            </w:pPr>
            <w:r>
              <w:rPr>
                <w:rFonts w:hint="eastAsia" w:ascii="仿宋" w:hAnsi="仿宋" w:eastAsia="仿宋" w:cs="仿宋"/>
                <w:snapToGrid w:val="0"/>
                <w:kern w:val="0"/>
                <w:sz w:val="28"/>
                <w:szCs w:val="28"/>
                <w:lang w:bidi="ar"/>
              </w:rPr>
              <w:t>非标准采购流程（或线下其它项目）中的特定场景需要抽取专家进行评审的，可直接项目登记进行专家抽取，并进行线下评审登记、最后可对评审结果会签上传。</w:t>
            </w:r>
          </w:p>
        </w:tc>
        <w:tc>
          <w:tcPr>
            <w:tcW w:w="341" w:type="pct"/>
            <w:tcBorders>
              <w:tl2br w:val="nil"/>
              <w:tr2bl w:val="nil"/>
            </w:tcBorders>
          </w:tcPr>
          <w:p>
            <w:pPr>
              <w:widowControl/>
              <w:spacing w:line="280" w:lineRule="exact"/>
              <w:jc w:val="left"/>
              <w:textAlignment w:val="center"/>
              <w:rPr>
                <w:rFonts w:ascii="仿宋" w:hAnsi="仿宋" w:eastAsia="仿宋" w:cs="仿宋"/>
                <w:snapToGrid w:val="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8" w:hRule="atLeast"/>
          <w:jc w:val="center"/>
        </w:trPr>
        <w:tc>
          <w:tcPr>
            <w:tcW w:w="851" w:type="pct"/>
            <w:vMerge w:val="restart"/>
            <w:tcBorders>
              <w:tl2br w:val="nil"/>
              <w:tr2bl w:val="nil"/>
            </w:tcBorders>
            <w:shd w:val="clear" w:color="auto" w:fill="auto"/>
            <w:noWrap/>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供应商管理</w:t>
            </w:r>
          </w:p>
        </w:tc>
        <w:tc>
          <w:tcPr>
            <w:tcW w:w="625" w:type="pct"/>
            <w:tcBorders>
              <w:tl2br w:val="nil"/>
              <w:tr2bl w:val="nil"/>
            </w:tcBorders>
            <w:shd w:val="clear" w:color="auto" w:fill="auto"/>
            <w:noWrap/>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供应商招募</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供应商招募是采购部门为了确保医院供应链的稳定和优化采购成本，主动寻找、筛选和引入合格的供应商进入医院的合格供应商名录的过程。</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采购部门可根据医院的业务需求和目标，制定相应的供应商招募策略，包括招募的时间框架、预算、目标市场和预期的供应商类型。</w:t>
            </w:r>
            <w:r>
              <w:rPr>
                <w:rFonts w:ascii="仿宋" w:hAnsi="仿宋" w:eastAsia="仿宋" w:cs="仿宋"/>
                <w:snapToGrid w:val="0"/>
                <w:color w:val="000000"/>
                <w:kern w:val="0"/>
                <w:sz w:val="28"/>
                <w:szCs w:val="28"/>
                <w:lang w:bidi="ar"/>
              </w:rPr>
              <w:t>通过</w:t>
            </w:r>
            <w:r>
              <w:rPr>
                <w:rFonts w:hint="eastAsia" w:ascii="仿宋" w:hAnsi="仿宋" w:eastAsia="仿宋" w:cs="仿宋"/>
                <w:snapToGrid w:val="0"/>
                <w:color w:val="000000"/>
                <w:kern w:val="0"/>
                <w:sz w:val="28"/>
                <w:szCs w:val="28"/>
                <w:lang w:bidi="ar"/>
              </w:rPr>
              <w:t>系统</w:t>
            </w:r>
            <w:r>
              <w:rPr>
                <w:rFonts w:ascii="仿宋" w:hAnsi="仿宋" w:eastAsia="仿宋" w:cs="仿宋"/>
                <w:snapToGrid w:val="0"/>
                <w:color w:val="000000"/>
                <w:kern w:val="0"/>
                <w:sz w:val="28"/>
                <w:szCs w:val="28"/>
                <w:lang w:bidi="ar"/>
              </w:rPr>
              <w:t>发布供应商招募信息，吸引潜在的供应商参与。对表达兴趣的供应商</w:t>
            </w:r>
            <w:r>
              <w:rPr>
                <w:rFonts w:hint="eastAsia" w:ascii="仿宋" w:hAnsi="仿宋" w:eastAsia="仿宋" w:cs="仿宋"/>
                <w:snapToGrid w:val="0"/>
                <w:color w:val="000000"/>
                <w:kern w:val="0"/>
                <w:sz w:val="28"/>
                <w:szCs w:val="28"/>
                <w:lang w:bidi="ar"/>
              </w:rPr>
              <w:t>可进行线上</w:t>
            </w:r>
            <w:r>
              <w:rPr>
                <w:rFonts w:ascii="仿宋" w:hAnsi="仿宋" w:eastAsia="仿宋" w:cs="仿宋"/>
                <w:snapToGrid w:val="0"/>
                <w:color w:val="000000"/>
                <w:kern w:val="0"/>
                <w:sz w:val="28"/>
                <w:szCs w:val="28"/>
                <w:lang w:bidi="ar"/>
              </w:rPr>
              <w:t>初步筛选，评估其基本资质、信誉、财务状况、生产能力和质量控制体系等。</w:t>
            </w:r>
            <w:r>
              <w:rPr>
                <w:rFonts w:hint="eastAsia" w:ascii="仿宋" w:hAnsi="仿宋" w:eastAsia="仿宋" w:cs="仿宋"/>
                <w:snapToGrid w:val="0"/>
                <w:color w:val="000000"/>
                <w:kern w:val="0"/>
                <w:sz w:val="28"/>
                <w:szCs w:val="28"/>
                <w:lang w:bidi="ar"/>
              </w:rPr>
              <w:t>也可对</w:t>
            </w:r>
            <w:r>
              <w:rPr>
                <w:rFonts w:ascii="仿宋" w:hAnsi="仿宋" w:eastAsia="仿宋" w:cs="仿宋"/>
                <w:snapToGrid w:val="0"/>
                <w:color w:val="000000"/>
                <w:kern w:val="0"/>
                <w:sz w:val="28"/>
                <w:szCs w:val="28"/>
                <w:lang w:bidi="ar"/>
              </w:rPr>
              <w:t>试运行与样品测试</w:t>
            </w:r>
            <w:r>
              <w:rPr>
                <w:rFonts w:hint="eastAsia" w:ascii="仿宋" w:hAnsi="仿宋" w:eastAsia="仿宋" w:cs="仿宋"/>
                <w:snapToGrid w:val="0"/>
                <w:color w:val="000000"/>
                <w:kern w:val="0"/>
                <w:sz w:val="28"/>
                <w:szCs w:val="28"/>
                <w:lang w:bidi="ar"/>
              </w:rPr>
              <w:t>，</w:t>
            </w:r>
            <w:r>
              <w:rPr>
                <w:rFonts w:ascii="仿宋" w:hAnsi="仿宋" w:eastAsia="仿宋" w:cs="仿宋"/>
                <w:snapToGrid w:val="0"/>
                <w:color w:val="000000"/>
                <w:kern w:val="0"/>
                <w:sz w:val="28"/>
                <w:szCs w:val="28"/>
                <w:lang w:bidi="ar"/>
              </w:rPr>
              <w:t>以验证其产品或服务是否符合</w:t>
            </w:r>
            <w:r>
              <w:rPr>
                <w:rFonts w:hint="eastAsia" w:ascii="仿宋" w:hAnsi="仿宋" w:eastAsia="仿宋" w:cs="仿宋"/>
                <w:snapToGrid w:val="0"/>
                <w:color w:val="000000"/>
                <w:kern w:val="0"/>
                <w:sz w:val="28"/>
                <w:szCs w:val="28"/>
                <w:lang w:bidi="ar"/>
              </w:rPr>
              <w:t>医院的采购</w:t>
            </w:r>
            <w:r>
              <w:rPr>
                <w:rFonts w:ascii="仿宋" w:hAnsi="仿宋" w:eastAsia="仿宋" w:cs="仿宋"/>
                <w:snapToGrid w:val="0"/>
                <w:color w:val="000000"/>
                <w:kern w:val="0"/>
                <w:sz w:val="28"/>
                <w:szCs w:val="28"/>
                <w:lang w:bidi="ar"/>
              </w:rPr>
              <w:t>的要求。</w:t>
            </w:r>
          </w:p>
        </w:tc>
        <w:tc>
          <w:tcPr>
            <w:tcW w:w="341" w:type="pct"/>
            <w:tcBorders>
              <w:tl2br w:val="nil"/>
              <w:tr2bl w:val="nil"/>
            </w:tcBorders>
          </w:tcPr>
          <w:p>
            <w:pPr>
              <w:widowControl/>
              <w:spacing w:line="28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8" w:hRule="atLeast"/>
          <w:jc w:val="center"/>
        </w:trPr>
        <w:tc>
          <w:tcPr>
            <w:tcW w:w="851" w:type="pct"/>
            <w:vMerge w:val="continue"/>
            <w:tcBorders>
              <w:tl2br w:val="nil"/>
              <w:tr2bl w:val="nil"/>
            </w:tcBorders>
            <w:shd w:val="clear" w:color="auto" w:fill="auto"/>
            <w:noWrap/>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p>
        </w:tc>
        <w:tc>
          <w:tcPr>
            <w:tcW w:w="625" w:type="pct"/>
            <w:tcBorders>
              <w:tl2br w:val="nil"/>
              <w:tr2bl w:val="nil"/>
            </w:tcBorders>
            <w:shd w:val="clear" w:color="auto" w:fill="auto"/>
            <w:noWrap/>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供应商评级评分</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对供应商进行定期评价打分，进行等级制定，服务好及产品好的，则分值高，对不好的供应商进行淘汰，并支持系统自动设置分值自动评分、或手工打分的评价模式</w:t>
            </w:r>
          </w:p>
        </w:tc>
        <w:tc>
          <w:tcPr>
            <w:tcW w:w="341" w:type="pct"/>
            <w:tcBorders>
              <w:tl2br w:val="nil"/>
              <w:tr2bl w:val="nil"/>
            </w:tcBorders>
          </w:tcPr>
          <w:p>
            <w:pPr>
              <w:widowControl/>
              <w:spacing w:line="28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7" w:hRule="atLeast"/>
          <w:jc w:val="center"/>
        </w:trPr>
        <w:tc>
          <w:tcPr>
            <w:tcW w:w="851" w:type="pct"/>
            <w:vMerge w:val="continue"/>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rPr>
            </w:pP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供应商退出</w:t>
            </w:r>
          </w:p>
        </w:tc>
        <w:tc>
          <w:tcPr>
            <w:tcW w:w="3183" w:type="pct"/>
            <w:tcBorders>
              <w:tl2br w:val="nil"/>
              <w:tr2bl w:val="nil"/>
            </w:tcBorders>
            <w:shd w:val="clear" w:color="auto" w:fill="auto"/>
            <w:vAlign w:val="center"/>
          </w:tcPr>
          <w:p>
            <w:pPr>
              <w:widowControl/>
              <w:spacing w:line="280" w:lineRule="exact"/>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实现对供应商准入及退出线上记录进行线上管理。</w:t>
            </w:r>
          </w:p>
        </w:tc>
        <w:tc>
          <w:tcPr>
            <w:tcW w:w="341" w:type="pct"/>
            <w:tcBorders>
              <w:tl2br w:val="nil"/>
              <w:tr2bl w:val="nil"/>
            </w:tcBorders>
          </w:tcPr>
          <w:p>
            <w:pPr>
              <w:widowControl/>
              <w:spacing w:line="28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851" w:type="pct"/>
            <w:vMerge w:val="restart"/>
            <w:tcBorders>
              <w:tl2br w:val="nil"/>
              <w:tr2bl w:val="nil"/>
            </w:tcBorders>
            <w:shd w:val="clear" w:color="auto" w:fill="auto"/>
            <w:noWrap/>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代理机构管理</w:t>
            </w: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sz w:val="28"/>
                <w:szCs w:val="28"/>
              </w:rPr>
              <w:t>代理机构抽取</w:t>
            </w:r>
          </w:p>
        </w:tc>
        <w:tc>
          <w:tcPr>
            <w:tcW w:w="3183" w:type="pct"/>
            <w:tcBorders>
              <w:tl2br w:val="nil"/>
              <w:tr2bl w:val="nil"/>
            </w:tcBorders>
            <w:shd w:val="clear" w:color="auto" w:fill="auto"/>
            <w:vAlign w:val="center"/>
          </w:tcPr>
          <w:p>
            <w:pPr>
              <w:widowControl/>
              <w:spacing w:line="280" w:lineRule="exact"/>
              <w:jc w:val="left"/>
              <w:textAlignment w:val="center"/>
              <w:rPr>
                <w:rFonts w:ascii="仿宋" w:hAnsi="仿宋" w:eastAsia="仿宋" w:cs="仿宋"/>
                <w:sz w:val="28"/>
                <w:szCs w:val="28"/>
              </w:rPr>
            </w:pPr>
            <w:r>
              <w:rPr>
                <w:rFonts w:hint="eastAsia" w:ascii="仿宋" w:hAnsi="仿宋" w:eastAsia="仿宋" w:cs="仿宋"/>
                <w:sz w:val="28"/>
                <w:szCs w:val="28"/>
              </w:rPr>
              <w:t>主要实现入库代理机构线上随机抽取模式</w:t>
            </w:r>
          </w:p>
        </w:tc>
        <w:tc>
          <w:tcPr>
            <w:tcW w:w="341" w:type="pct"/>
            <w:tcBorders>
              <w:tl2br w:val="nil"/>
              <w:tr2bl w:val="nil"/>
            </w:tcBorders>
          </w:tcPr>
          <w:p>
            <w:pPr>
              <w:widowControl/>
              <w:spacing w:line="280" w:lineRule="exact"/>
              <w:jc w:val="left"/>
              <w:textAlignment w:val="center"/>
              <w:rPr>
                <w:rFonts w:ascii="仿宋" w:hAnsi="仿宋" w:eastAsia="仿宋" w:cs="仿宋"/>
                <w:snapToGrid w:val="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851" w:type="pct"/>
            <w:vMerge w:val="continue"/>
            <w:tcBorders>
              <w:tl2br w:val="nil"/>
              <w:tr2bl w:val="nil"/>
            </w:tcBorders>
            <w:shd w:val="clear" w:color="auto" w:fill="auto"/>
            <w:noWrap/>
            <w:vAlign w:val="center"/>
          </w:tcPr>
          <w:p>
            <w:pPr>
              <w:spacing w:line="320" w:lineRule="exact"/>
              <w:jc w:val="center"/>
              <w:rPr>
                <w:rFonts w:ascii="仿宋" w:hAnsi="仿宋" w:eastAsia="仿宋" w:cs="仿宋"/>
                <w:color w:val="FF0000"/>
                <w:sz w:val="28"/>
                <w:szCs w:val="28"/>
              </w:rPr>
            </w:pP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sz w:val="28"/>
                <w:szCs w:val="28"/>
              </w:rPr>
              <w:t>代理机构评价</w:t>
            </w:r>
          </w:p>
        </w:tc>
        <w:tc>
          <w:tcPr>
            <w:tcW w:w="3183" w:type="pct"/>
            <w:tcBorders>
              <w:tl2br w:val="nil"/>
              <w:tr2bl w:val="nil"/>
            </w:tcBorders>
            <w:shd w:val="clear" w:color="auto" w:fill="auto"/>
            <w:vAlign w:val="center"/>
          </w:tcPr>
          <w:p>
            <w:pPr>
              <w:widowControl/>
              <w:spacing w:line="280" w:lineRule="exact"/>
              <w:jc w:val="left"/>
              <w:textAlignment w:val="center"/>
              <w:rPr>
                <w:rFonts w:ascii="仿宋" w:hAnsi="仿宋" w:eastAsia="仿宋" w:cs="仿宋"/>
                <w:sz w:val="28"/>
                <w:szCs w:val="28"/>
              </w:rPr>
            </w:pPr>
            <w:r>
              <w:rPr>
                <w:rFonts w:hint="eastAsia" w:ascii="仿宋" w:hAnsi="仿宋" w:eastAsia="仿宋" w:cs="仿宋"/>
                <w:sz w:val="28"/>
                <w:szCs w:val="28"/>
              </w:rPr>
              <w:t>可对已完成项目的代理机构进行项目后评价（评分制）</w:t>
            </w:r>
          </w:p>
        </w:tc>
        <w:tc>
          <w:tcPr>
            <w:tcW w:w="341" w:type="pct"/>
            <w:tcBorders>
              <w:tl2br w:val="nil"/>
              <w:tr2bl w:val="nil"/>
            </w:tcBorders>
          </w:tcPr>
          <w:p>
            <w:pPr>
              <w:widowControl/>
              <w:spacing w:line="280" w:lineRule="exact"/>
              <w:jc w:val="left"/>
              <w:textAlignment w:val="center"/>
              <w:rPr>
                <w:rFonts w:ascii="仿宋" w:hAnsi="仿宋" w:eastAsia="仿宋" w:cs="仿宋"/>
                <w:snapToGrid w:val="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8" w:hRule="atLeast"/>
          <w:jc w:val="center"/>
        </w:trPr>
        <w:tc>
          <w:tcPr>
            <w:tcW w:w="851" w:type="pct"/>
            <w:vMerge w:val="restart"/>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模板管理</w:t>
            </w: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公告模板管理</w:t>
            </w:r>
          </w:p>
        </w:tc>
        <w:tc>
          <w:tcPr>
            <w:tcW w:w="3183" w:type="pct"/>
            <w:tcBorders>
              <w:tl2br w:val="nil"/>
              <w:tr2bl w:val="nil"/>
            </w:tcBorders>
            <w:shd w:val="clear" w:color="auto" w:fill="auto"/>
            <w:vAlign w:val="center"/>
          </w:tcPr>
          <w:p>
            <w:pPr>
              <w:widowControl/>
              <w:spacing w:line="280" w:lineRule="exact"/>
              <w:jc w:val="left"/>
              <w:textAlignment w:val="center"/>
              <w:rPr>
                <w:rFonts w:ascii="仿宋" w:hAnsi="仿宋" w:eastAsia="仿宋" w:cs="仿宋"/>
                <w:color w:val="000000"/>
                <w:sz w:val="28"/>
                <w:szCs w:val="28"/>
              </w:rPr>
            </w:pPr>
            <w:r>
              <w:rPr>
                <w:rFonts w:hint="eastAsia" w:ascii="仿宋" w:hAnsi="仿宋" w:eastAsia="仿宋" w:cs="仿宋"/>
                <w:snapToGrid w:val="0"/>
                <w:color w:val="000000"/>
                <w:kern w:val="0"/>
                <w:sz w:val="28"/>
                <w:szCs w:val="28"/>
                <w:lang w:bidi="ar"/>
              </w:rPr>
              <w:t>可针对项目不同类型，自动生成对应的采购/变更/候选/结果公告，减少采购人员编辑工作量。</w:t>
            </w:r>
          </w:p>
        </w:tc>
        <w:tc>
          <w:tcPr>
            <w:tcW w:w="341" w:type="pct"/>
            <w:tcBorders>
              <w:tl2br w:val="nil"/>
              <w:tr2bl w:val="nil"/>
            </w:tcBorders>
          </w:tcPr>
          <w:p>
            <w:pPr>
              <w:widowControl/>
              <w:spacing w:line="28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jc w:val="center"/>
        </w:trPr>
        <w:tc>
          <w:tcPr>
            <w:tcW w:w="851" w:type="pct"/>
            <w:vMerge w:val="continue"/>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rPr>
            </w:pP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采购过程模板管理</w:t>
            </w:r>
          </w:p>
        </w:tc>
        <w:tc>
          <w:tcPr>
            <w:tcW w:w="3183" w:type="pct"/>
            <w:tcBorders>
              <w:tl2br w:val="nil"/>
              <w:tr2bl w:val="nil"/>
            </w:tcBorders>
            <w:shd w:val="clear" w:color="auto" w:fill="auto"/>
            <w:vAlign w:val="center"/>
          </w:tcPr>
          <w:p>
            <w:pPr>
              <w:widowControl/>
              <w:spacing w:line="280" w:lineRule="exact"/>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可针对评标报告、通知书、验收、数据报告、季度报告等内容，设置医院自有报告模板。</w:t>
            </w:r>
          </w:p>
        </w:tc>
        <w:tc>
          <w:tcPr>
            <w:tcW w:w="341" w:type="pct"/>
            <w:tcBorders>
              <w:tl2br w:val="nil"/>
              <w:tr2bl w:val="nil"/>
            </w:tcBorders>
          </w:tcPr>
          <w:p>
            <w:pPr>
              <w:widowControl/>
              <w:spacing w:line="28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8" w:hRule="atLeast"/>
          <w:jc w:val="center"/>
        </w:trPr>
        <w:tc>
          <w:tcPr>
            <w:tcW w:w="851" w:type="pct"/>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工作流管理</w:t>
            </w: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系统内工作流</w:t>
            </w:r>
          </w:p>
        </w:tc>
        <w:tc>
          <w:tcPr>
            <w:tcW w:w="3183" w:type="pct"/>
            <w:tcBorders>
              <w:tl2br w:val="nil"/>
              <w:tr2bl w:val="nil"/>
            </w:tcBorders>
            <w:shd w:val="clear" w:color="auto" w:fill="auto"/>
            <w:vAlign w:val="center"/>
          </w:tcPr>
          <w:p>
            <w:pPr>
              <w:widowControl/>
              <w:spacing w:line="280" w:lineRule="exact"/>
              <w:jc w:val="left"/>
              <w:textAlignment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可根据医院内控制度要求，设置工作流、审批流，可以实现传签、会签、短信通知等功能</w:t>
            </w:r>
            <w:r>
              <w:rPr>
                <w:rFonts w:hint="eastAsia" w:ascii="仿宋" w:hAnsi="仿宋" w:eastAsia="仿宋" w:cs="仿宋"/>
                <w:color w:val="000000"/>
                <w:sz w:val="28"/>
                <w:szCs w:val="28"/>
                <w:highlight w:val="none"/>
                <w:lang w:eastAsia="zh-CN"/>
              </w:rPr>
              <w:t>，并与</w:t>
            </w:r>
            <w:r>
              <w:rPr>
                <w:rFonts w:hint="eastAsia" w:ascii="仿宋" w:hAnsi="仿宋" w:eastAsia="仿宋" w:cs="仿宋"/>
                <w:color w:val="000000"/>
                <w:sz w:val="28"/>
                <w:szCs w:val="28"/>
                <w:highlight w:val="none"/>
                <w:lang w:val="en-US" w:eastAsia="zh-CN"/>
              </w:rPr>
              <w:t>OA实现业务流程对接</w:t>
            </w:r>
            <w:r>
              <w:rPr>
                <w:rFonts w:hint="eastAsia" w:ascii="仿宋" w:hAnsi="仿宋" w:eastAsia="仿宋" w:cs="仿宋"/>
                <w:color w:val="000000"/>
                <w:sz w:val="28"/>
                <w:szCs w:val="28"/>
                <w:highlight w:val="none"/>
              </w:rPr>
              <w:t>。</w:t>
            </w:r>
          </w:p>
        </w:tc>
        <w:tc>
          <w:tcPr>
            <w:tcW w:w="341" w:type="pct"/>
            <w:tcBorders>
              <w:tl2br w:val="nil"/>
              <w:tr2bl w:val="nil"/>
            </w:tcBorders>
          </w:tcPr>
          <w:p>
            <w:pPr>
              <w:widowControl/>
              <w:spacing w:line="28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0" w:hRule="atLeast"/>
          <w:jc w:val="center"/>
        </w:trPr>
        <w:tc>
          <w:tcPr>
            <w:tcW w:w="851" w:type="pct"/>
            <w:vMerge w:val="restar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监督管理</w:t>
            </w:r>
          </w:p>
        </w:tc>
        <w:tc>
          <w:tcPr>
            <w:tcW w:w="625" w:type="pct"/>
            <w:tcBorders>
              <w:tl2br w:val="nil"/>
              <w:tr2bl w:val="nil"/>
            </w:tcBorders>
            <w:shd w:val="clear" w:color="auto" w:fill="auto"/>
            <w:noWrap/>
            <w:vAlign w:val="center"/>
          </w:tcPr>
          <w:p>
            <w:pPr>
              <w:spacing w:line="320" w:lineRule="exact"/>
              <w:jc w:val="center"/>
              <w:textAlignment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采购全流程审计监控</w:t>
            </w:r>
          </w:p>
        </w:tc>
        <w:tc>
          <w:tcPr>
            <w:tcW w:w="3183" w:type="pct"/>
            <w:tcBorders>
              <w:tl2br w:val="nil"/>
              <w:tr2bl w:val="nil"/>
            </w:tcBorders>
            <w:shd w:val="clear" w:color="auto" w:fill="auto"/>
            <w:vAlign w:val="center"/>
          </w:tcPr>
          <w:p>
            <w:pPr>
              <w:widowControl/>
              <w:spacing w:line="320" w:lineRule="exact"/>
              <w:jc w:val="left"/>
              <w:textAlignment w:val="center"/>
              <w:rPr>
                <w:rFonts w:ascii="仿宋" w:hAnsi="仿宋" w:eastAsia="仿宋" w:cs="仿宋"/>
                <w:snapToGrid w:val="0"/>
                <w:color w:val="000000"/>
                <w:kern w:val="0"/>
                <w:sz w:val="28"/>
                <w:szCs w:val="28"/>
                <w:highlight w:val="none"/>
                <w:lang w:bidi="ar"/>
              </w:rPr>
            </w:pPr>
            <w:r>
              <w:rPr>
                <w:rFonts w:hint="eastAsia" w:ascii="仿宋" w:hAnsi="仿宋" w:eastAsia="仿宋" w:cs="仿宋"/>
                <w:snapToGrid w:val="0"/>
                <w:color w:val="000000"/>
                <w:kern w:val="0"/>
                <w:sz w:val="28"/>
                <w:szCs w:val="28"/>
                <w:highlight w:val="none"/>
                <w:lang w:bidi="ar"/>
              </w:rPr>
              <w:t>采购管理部门、采购工作领导小组、监督机构用户，根据权限实时监控采购预算的执行情况，从采购</w:t>
            </w:r>
            <w:r>
              <w:rPr>
                <w:rFonts w:hint="eastAsia" w:ascii="仿宋" w:hAnsi="仿宋" w:eastAsia="仿宋" w:cs="仿宋"/>
                <w:strike w:val="0"/>
                <w:dstrike w:val="0"/>
                <w:snapToGrid w:val="0"/>
                <w:color w:val="000000"/>
                <w:kern w:val="0"/>
                <w:sz w:val="28"/>
                <w:szCs w:val="28"/>
                <w:highlight w:val="none"/>
                <w:lang w:val="en-US" w:eastAsia="zh-CN" w:bidi="ar"/>
              </w:rPr>
              <w:t>预算</w:t>
            </w:r>
            <w:r>
              <w:rPr>
                <w:rFonts w:hint="eastAsia" w:ascii="仿宋" w:hAnsi="仿宋" w:eastAsia="仿宋" w:cs="仿宋"/>
                <w:snapToGrid w:val="0"/>
                <w:color w:val="000000"/>
                <w:kern w:val="0"/>
                <w:sz w:val="28"/>
                <w:szCs w:val="28"/>
                <w:highlight w:val="none"/>
                <w:lang w:bidi="ar"/>
              </w:rPr>
              <w:t>开始、需求调研过程、立项</w:t>
            </w:r>
            <w:r>
              <w:rPr>
                <w:rFonts w:hint="eastAsia" w:ascii="仿宋" w:hAnsi="仿宋" w:eastAsia="仿宋" w:cs="仿宋"/>
                <w:snapToGrid w:val="0"/>
                <w:color w:val="000000"/>
                <w:kern w:val="0"/>
                <w:sz w:val="28"/>
                <w:szCs w:val="28"/>
                <w:highlight w:val="none"/>
                <w:lang w:eastAsia="zh-CN" w:bidi="ar"/>
              </w:rPr>
              <w:t>（</w:t>
            </w:r>
            <w:r>
              <w:rPr>
                <w:rFonts w:hint="eastAsia" w:ascii="仿宋" w:hAnsi="仿宋" w:eastAsia="仿宋" w:cs="仿宋"/>
                <w:snapToGrid w:val="0"/>
                <w:color w:val="000000"/>
                <w:kern w:val="0"/>
                <w:sz w:val="28"/>
                <w:szCs w:val="28"/>
                <w:highlight w:val="none"/>
                <w:lang w:val="en-US" w:eastAsia="zh-CN" w:bidi="ar"/>
              </w:rPr>
              <w:t>可选择是否执行此环节</w:t>
            </w:r>
            <w:r>
              <w:rPr>
                <w:rFonts w:hint="eastAsia" w:ascii="仿宋" w:hAnsi="仿宋" w:eastAsia="仿宋" w:cs="仿宋"/>
                <w:snapToGrid w:val="0"/>
                <w:color w:val="000000"/>
                <w:kern w:val="0"/>
                <w:sz w:val="28"/>
                <w:szCs w:val="28"/>
                <w:highlight w:val="none"/>
                <w:lang w:eastAsia="zh-CN" w:bidi="ar"/>
              </w:rPr>
              <w:t>）</w:t>
            </w:r>
            <w:r>
              <w:rPr>
                <w:rFonts w:hint="eastAsia" w:ascii="仿宋" w:hAnsi="仿宋" w:eastAsia="仿宋" w:cs="仿宋"/>
                <w:snapToGrid w:val="0"/>
                <w:color w:val="000000"/>
                <w:kern w:val="0"/>
                <w:sz w:val="28"/>
                <w:szCs w:val="28"/>
                <w:highlight w:val="none"/>
                <w:lang w:bidi="ar"/>
              </w:rPr>
              <w:t>、采购交易流程、合同签订等各环节，自动记录各过程的操作和审批记录，并显示时间节点，实现对采购流程的全面监控。</w:t>
            </w:r>
          </w:p>
          <w:p>
            <w:pPr>
              <w:spacing w:line="320" w:lineRule="exact"/>
              <w:jc w:val="left"/>
              <w:textAlignment w:val="center"/>
              <w:rPr>
                <w:rFonts w:ascii="仿宋" w:hAnsi="仿宋" w:eastAsia="仿宋" w:cs="仿宋"/>
                <w:color w:val="000000"/>
                <w:sz w:val="28"/>
                <w:szCs w:val="28"/>
                <w:highlight w:val="none"/>
              </w:rPr>
            </w:pPr>
            <w:r>
              <w:rPr>
                <w:rFonts w:hint="eastAsia" w:ascii="仿宋" w:hAnsi="仿宋" w:eastAsia="仿宋" w:cs="仿宋"/>
                <w:snapToGrid w:val="0"/>
                <w:color w:val="000000"/>
                <w:kern w:val="0"/>
                <w:sz w:val="28"/>
                <w:szCs w:val="28"/>
                <w:highlight w:val="none"/>
                <w:lang w:bidi="ar"/>
              </w:rPr>
              <w:t>可以根据客户需要形成包括各环节信息的PDF文档资料，提供给审计、纪检或所需部门查看。</w:t>
            </w:r>
          </w:p>
        </w:tc>
        <w:tc>
          <w:tcPr>
            <w:tcW w:w="341" w:type="pct"/>
            <w:tcBorders>
              <w:tl2br w:val="nil"/>
              <w:tr2bl w:val="nil"/>
            </w:tcBorders>
          </w:tcPr>
          <w:p>
            <w:pPr>
              <w:widowControl/>
              <w:spacing w:line="32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851" w:type="pct"/>
            <w:vMerge w:val="continue"/>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rPr>
            </w:pP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sz w:val="28"/>
                <w:szCs w:val="28"/>
              </w:rPr>
              <w:t>卫健委重点环节操作规范自评</w:t>
            </w:r>
          </w:p>
        </w:tc>
        <w:tc>
          <w:tcPr>
            <w:tcW w:w="3183" w:type="pct"/>
            <w:tcBorders>
              <w:tl2br w:val="nil"/>
              <w:tr2bl w:val="nil"/>
            </w:tcBorders>
            <w:shd w:val="clear" w:color="auto" w:fill="auto"/>
            <w:vAlign w:val="center"/>
          </w:tcPr>
          <w:p>
            <w:pPr>
              <w:widowControl/>
              <w:spacing w:line="320" w:lineRule="exact"/>
              <w:jc w:val="left"/>
              <w:textAlignment w:val="center"/>
              <w:rPr>
                <w:rFonts w:ascii="仿宋" w:hAnsi="仿宋" w:eastAsia="仿宋" w:cs="仿宋"/>
                <w:snapToGrid w:val="0"/>
                <w:kern w:val="0"/>
                <w:sz w:val="28"/>
                <w:szCs w:val="28"/>
                <w:lang w:bidi="ar"/>
              </w:rPr>
            </w:pPr>
            <w:r>
              <w:rPr>
                <w:rFonts w:hint="eastAsia" w:ascii="仿宋" w:hAnsi="仿宋" w:eastAsia="仿宋" w:cs="仿宋"/>
                <w:snapToGrid w:val="0"/>
                <w:kern w:val="0"/>
                <w:sz w:val="28"/>
                <w:szCs w:val="28"/>
                <w:lang w:bidi="ar"/>
              </w:rPr>
              <w:t>完成对照广西卫健委重点环节操作规范进行自评（分成两部分，基础自评以及采购过程节点自评），如果后续有需要可根据后续政策文件、管理办法的要求增加自评点</w:t>
            </w:r>
          </w:p>
        </w:tc>
        <w:tc>
          <w:tcPr>
            <w:tcW w:w="341" w:type="pct"/>
            <w:tcBorders>
              <w:tl2br w:val="nil"/>
              <w:tr2bl w:val="nil"/>
            </w:tcBorders>
          </w:tcPr>
          <w:p>
            <w:pPr>
              <w:widowControl/>
              <w:spacing w:line="320" w:lineRule="exact"/>
              <w:jc w:val="left"/>
              <w:textAlignment w:val="center"/>
              <w:rPr>
                <w:rFonts w:ascii="仿宋" w:hAnsi="仿宋" w:eastAsia="仿宋" w:cs="仿宋"/>
                <w:snapToGrid w:val="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851" w:type="pct"/>
            <w:vMerge w:val="continue"/>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rPr>
            </w:pP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财务审计</w:t>
            </w:r>
          </w:p>
        </w:tc>
        <w:tc>
          <w:tcPr>
            <w:tcW w:w="3183" w:type="pct"/>
            <w:tcBorders>
              <w:tl2br w:val="nil"/>
              <w:tr2bl w:val="nil"/>
            </w:tcBorders>
            <w:shd w:val="clear" w:color="auto" w:fill="auto"/>
            <w:vAlign w:val="center"/>
          </w:tcPr>
          <w:p>
            <w:pPr>
              <w:widowControl/>
              <w:spacing w:line="320" w:lineRule="exact"/>
              <w:jc w:val="left"/>
              <w:textAlignment w:val="center"/>
              <w:rPr>
                <w:rFonts w:ascii="仿宋" w:hAnsi="仿宋" w:eastAsia="仿宋" w:cs="仿宋"/>
                <w:color w:val="000000"/>
                <w:sz w:val="28"/>
                <w:szCs w:val="28"/>
              </w:rPr>
            </w:pPr>
            <w:r>
              <w:rPr>
                <w:rFonts w:hint="eastAsia" w:ascii="仿宋" w:hAnsi="仿宋" w:eastAsia="仿宋" w:cs="仿宋"/>
                <w:snapToGrid w:val="0"/>
                <w:color w:val="000000"/>
                <w:kern w:val="0"/>
                <w:sz w:val="28"/>
                <w:szCs w:val="28"/>
                <w:lang w:bidi="ar"/>
              </w:rPr>
              <w:t>采购过程中标书费、投标保证金缴纳的审计。</w:t>
            </w:r>
          </w:p>
        </w:tc>
        <w:tc>
          <w:tcPr>
            <w:tcW w:w="341" w:type="pct"/>
            <w:tcBorders>
              <w:tl2br w:val="nil"/>
              <w:tr2bl w:val="nil"/>
            </w:tcBorders>
          </w:tcPr>
          <w:p>
            <w:pPr>
              <w:widowControl/>
              <w:spacing w:line="32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851" w:type="pct"/>
            <w:vMerge w:val="continue"/>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rPr>
            </w:pP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供应商、代理机构、评审专家监督</w:t>
            </w:r>
          </w:p>
        </w:tc>
        <w:tc>
          <w:tcPr>
            <w:tcW w:w="3183" w:type="pct"/>
            <w:tcBorders>
              <w:tl2br w:val="nil"/>
              <w:tr2bl w:val="nil"/>
            </w:tcBorders>
            <w:shd w:val="clear" w:color="auto" w:fill="auto"/>
            <w:vAlign w:val="center"/>
          </w:tcPr>
          <w:p>
            <w:pPr>
              <w:widowControl/>
              <w:spacing w:line="320" w:lineRule="exact"/>
              <w:jc w:val="left"/>
              <w:textAlignment w:val="center"/>
              <w:rPr>
                <w:rFonts w:ascii="仿宋" w:hAnsi="仿宋" w:eastAsia="仿宋" w:cs="仿宋"/>
                <w:color w:val="000000"/>
                <w:sz w:val="28"/>
                <w:szCs w:val="28"/>
              </w:rPr>
            </w:pPr>
            <w:r>
              <w:rPr>
                <w:rFonts w:hint="eastAsia" w:ascii="仿宋" w:hAnsi="仿宋" w:eastAsia="仿宋" w:cs="仿宋"/>
                <w:snapToGrid w:val="0"/>
                <w:color w:val="000000"/>
                <w:kern w:val="0"/>
                <w:sz w:val="28"/>
                <w:szCs w:val="28"/>
                <w:lang w:bidi="ar"/>
              </w:rPr>
              <w:t>记录各方在采购过程中的表现，为评价提供依据。</w:t>
            </w:r>
          </w:p>
        </w:tc>
        <w:tc>
          <w:tcPr>
            <w:tcW w:w="341" w:type="pct"/>
            <w:tcBorders>
              <w:tl2br w:val="nil"/>
              <w:tr2bl w:val="nil"/>
            </w:tcBorders>
          </w:tcPr>
          <w:p>
            <w:pPr>
              <w:widowControl/>
              <w:spacing w:line="32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851" w:type="pct"/>
            <w:vMerge w:val="continue"/>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rPr>
            </w:pP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sz w:val="28"/>
                <w:szCs w:val="28"/>
              </w:rPr>
              <w:t>归档管理</w:t>
            </w:r>
          </w:p>
        </w:tc>
        <w:tc>
          <w:tcPr>
            <w:tcW w:w="3183" w:type="pct"/>
            <w:tcBorders>
              <w:tl2br w:val="nil"/>
              <w:tr2bl w:val="nil"/>
            </w:tcBorders>
            <w:shd w:val="clear" w:color="auto" w:fill="auto"/>
            <w:vAlign w:val="center"/>
          </w:tcPr>
          <w:p>
            <w:pPr>
              <w:widowControl/>
              <w:spacing w:line="320" w:lineRule="exact"/>
              <w:jc w:val="left"/>
              <w:textAlignment w:val="center"/>
              <w:rPr>
                <w:rFonts w:ascii="仿宋" w:hAnsi="仿宋" w:eastAsia="仿宋" w:cs="仿宋"/>
                <w:snapToGrid w:val="0"/>
                <w:kern w:val="0"/>
                <w:sz w:val="28"/>
                <w:szCs w:val="28"/>
                <w:lang w:bidi="ar"/>
              </w:rPr>
            </w:pPr>
            <w:r>
              <w:rPr>
                <w:rFonts w:hint="eastAsia" w:ascii="仿宋" w:hAnsi="仿宋" w:eastAsia="仿宋" w:cs="仿宋"/>
                <w:snapToGrid w:val="0"/>
                <w:kern w:val="0"/>
                <w:sz w:val="28"/>
                <w:szCs w:val="28"/>
                <w:lang w:bidi="ar"/>
              </w:rPr>
              <w:t>对采购项目各过程的操作记录和附件信息进行自动归类，形成一个项目压缩包，并自动生成项目文件夹。</w:t>
            </w:r>
          </w:p>
        </w:tc>
        <w:tc>
          <w:tcPr>
            <w:tcW w:w="341" w:type="pct"/>
            <w:tcBorders>
              <w:tl2br w:val="nil"/>
              <w:tr2bl w:val="nil"/>
            </w:tcBorders>
          </w:tcPr>
          <w:p>
            <w:pPr>
              <w:widowControl/>
              <w:spacing w:line="320" w:lineRule="exact"/>
              <w:jc w:val="left"/>
              <w:textAlignment w:val="center"/>
              <w:rPr>
                <w:rFonts w:ascii="仿宋" w:hAnsi="仿宋" w:eastAsia="仿宋" w:cs="仿宋"/>
                <w:snapToGrid w:val="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851" w:type="pct"/>
            <w:vMerge w:val="restart"/>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分析统计</w:t>
            </w: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统计报表</w:t>
            </w:r>
          </w:p>
        </w:tc>
        <w:tc>
          <w:tcPr>
            <w:tcW w:w="3183" w:type="pct"/>
            <w:tcBorders>
              <w:tl2br w:val="nil"/>
              <w:tr2bl w:val="nil"/>
            </w:tcBorders>
            <w:shd w:val="clear" w:color="auto" w:fill="auto"/>
            <w:vAlign w:val="center"/>
          </w:tcPr>
          <w:p>
            <w:pPr>
              <w:widowControl/>
              <w:spacing w:line="320" w:lineRule="exact"/>
              <w:jc w:val="left"/>
              <w:textAlignment w:val="center"/>
              <w:rPr>
                <w:rFonts w:hint="eastAsia" w:ascii="仿宋" w:hAnsi="仿宋" w:eastAsia="仿宋" w:cs="仿宋"/>
                <w:snapToGrid w:val="0"/>
                <w:color w:val="000000"/>
                <w:kern w:val="0"/>
                <w:sz w:val="28"/>
                <w:szCs w:val="28"/>
                <w:highlight w:val="none"/>
                <w:lang w:bidi="ar"/>
              </w:rPr>
            </w:pPr>
            <w:r>
              <w:rPr>
                <w:rFonts w:hint="eastAsia" w:ascii="仿宋" w:hAnsi="仿宋" w:eastAsia="仿宋" w:cs="仿宋"/>
                <w:snapToGrid w:val="0"/>
                <w:color w:val="000000"/>
                <w:kern w:val="0"/>
                <w:sz w:val="28"/>
                <w:szCs w:val="28"/>
                <w:highlight w:val="none"/>
                <w:lang w:bidi="ar"/>
              </w:rPr>
              <w:t>可</w:t>
            </w:r>
            <w:r>
              <w:rPr>
                <w:rFonts w:hint="eastAsia" w:ascii="仿宋" w:hAnsi="仿宋" w:eastAsia="仿宋" w:cs="仿宋"/>
                <w:snapToGrid w:val="0"/>
                <w:color w:val="000000"/>
                <w:kern w:val="0"/>
                <w:sz w:val="28"/>
                <w:szCs w:val="28"/>
                <w:highlight w:val="none"/>
                <w:lang w:eastAsia="zh-CN" w:bidi="ar"/>
              </w:rPr>
              <w:t>按医院需要，</w:t>
            </w:r>
            <w:r>
              <w:rPr>
                <w:rFonts w:hint="eastAsia" w:ascii="仿宋" w:hAnsi="仿宋" w:eastAsia="仿宋" w:cs="仿宋"/>
                <w:snapToGrid w:val="0"/>
                <w:color w:val="000000"/>
                <w:kern w:val="0"/>
                <w:sz w:val="28"/>
                <w:szCs w:val="28"/>
                <w:highlight w:val="none"/>
                <w:lang w:bidi="ar"/>
              </w:rPr>
              <w:t>统计医院全院、各科室的总体采购金额，实现对不同类别项目执行数据（项目个数，中标金额、节约资金量、完成项目数、流标次数等；</w:t>
            </w:r>
          </w:p>
        </w:tc>
        <w:tc>
          <w:tcPr>
            <w:tcW w:w="341" w:type="pct"/>
            <w:tcBorders>
              <w:tl2br w:val="nil"/>
              <w:tr2bl w:val="nil"/>
            </w:tcBorders>
          </w:tcPr>
          <w:p>
            <w:pPr>
              <w:widowControl/>
              <w:spacing w:line="32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851" w:type="pct"/>
            <w:vMerge w:val="continue"/>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rPr>
            </w:pP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数字大屏</w:t>
            </w:r>
          </w:p>
        </w:tc>
        <w:tc>
          <w:tcPr>
            <w:tcW w:w="3183" w:type="pct"/>
            <w:tcBorders>
              <w:tl2br w:val="nil"/>
              <w:tr2bl w:val="nil"/>
            </w:tcBorders>
            <w:shd w:val="clear" w:color="auto" w:fill="auto"/>
            <w:vAlign w:val="center"/>
          </w:tcPr>
          <w:p>
            <w:pPr>
              <w:widowControl/>
              <w:spacing w:line="32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统计全院采购相关重点指标数据，并以可视化、图形化的形式展示，包括具体指标卡，分布图，趋势图，地图等图形组件。</w:t>
            </w:r>
          </w:p>
          <w:p>
            <w:pPr>
              <w:widowControl/>
              <w:spacing w:line="32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页面美观，展示丰富数据，可视化展示便于快速了解大盘数据，快速决策。</w:t>
            </w:r>
          </w:p>
        </w:tc>
        <w:tc>
          <w:tcPr>
            <w:tcW w:w="341" w:type="pct"/>
            <w:tcBorders>
              <w:tl2br w:val="nil"/>
              <w:tr2bl w:val="nil"/>
            </w:tcBorders>
          </w:tcPr>
          <w:p>
            <w:pPr>
              <w:widowControl/>
              <w:spacing w:line="32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851" w:type="pct"/>
            <w:vMerge w:val="continue"/>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rPr>
            </w:pP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采购驾驶舱</w:t>
            </w:r>
          </w:p>
        </w:tc>
        <w:tc>
          <w:tcPr>
            <w:tcW w:w="3183" w:type="pct"/>
            <w:tcBorders>
              <w:tl2br w:val="nil"/>
              <w:tr2bl w:val="nil"/>
            </w:tcBorders>
            <w:shd w:val="clear" w:color="auto" w:fill="auto"/>
            <w:vAlign w:val="center"/>
          </w:tcPr>
          <w:p>
            <w:pPr>
              <w:widowControl/>
              <w:spacing w:line="32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数据看板，数据展示形式丰富，统计指标全面，兼容多层数据统计颗粒度。</w:t>
            </w:r>
          </w:p>
          <w:p>
            <w:pPr>
              <w:widowControl/>
              <w:spacing w:line="32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为采购业务人员提供全面、丰富的数据统计，便于了解采购全链路，全环节，多主体数据指标情况。</w:t>
            </w:r>
          </w:p>
        </w:tc>
        <w:tc>
          <w:tcPr>
            <w:tcW w:w="341" w:type="pct"/>
            <w:tcBorders>
              <w:tl2br w:val="nil"/>
              <w:tr2bl w:val="nil"/>
            </w:tcBorders>
          </w:tcPr>
          <w:p>
            <w:pPr>
              <w:widowControl/>
              <w:spacing w:line="32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851" w:type="pct"/>
            <w:vMerge w:val="restart"/>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风险治理</w:t>
            </w:r>
          </w:p>
        </w:tc>
        <w:tc>
          <w:tcPr>
            <w:tcW w:w="625" w:type="pct"/>
            <w:tcBorders>
              <w:tl2br w:val="nil"/>
              <w:tr2bl w:val="nil"/>
            </w:tcBorders>
            <w:shd w:val="clear" w:color="auto" w:fill="auto"/>
            <w:noWrap/>
            <w:vAlign w:val="center"/>
          </w:tcPr>
          <w:p>
            <w:pPr>
              <w:widowControl/>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风险点管理</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展示所有已监控的风险规则，支持在线编辑风险，关闭和开启风险。</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可提示或处理风险结果。帮助监管人员及时掌握采购风险。</w:t>
            </w:r>
          </w:p>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可以根据医院的内控制度以及上级主管部门的要求增加风险控制规则，如：可以分辨供应商报名IP是否一致、保证金缴纳方、文件递交MAC地址是否一致等，并能线上进行督办处理。</w:t>
            </w:r>
          </w:p>
        </w:tc>
        <w:tc>
          <w:tcPr>
            <w:tcW w:w="341" w:type="pct"/>
            <w:tcBorders>
              <w:tl2br w:val="nil"/>
              <w:tr2bl w:val="nil"/>
            </w:tcBorders>
          </w:tcPr>
          <w:p>
            <w:pPr>
              <w:widowControl/>
              <w:spacing w:line="32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3" w:hRule="atLeast"/>
          <w:jc w:val="center"/>
        </w:trPr>
        <w:tc>
          <w:tcPr>
            <w:tcW w:w="851" w:type="pct"/>
            <w:vMerge w:val="continue"/>
            <w:tcBorders>
              <w:tl2br w:val="nil"/>
              <w:tr2bl w:val="nil"/>
            </w:tcBorders>
            <w:shd w:val="clear" w:color="auto" w:fill="auto"/>
            <w:noWrap/>
            <w:vAlign w:val="center"/>
          </w:tcPr>
          <w:p>
            <w:pPr>
              <w:spacing w:line="320" w:lineRule="exact"/>
              <w:jc w:val="center"/>
              <w:rPr>
                <w:rFonts w:ascii="仿宋" w:hAnsi="仿宋" w:eastAsia="仿宋" w:cs="仿宋"/>
                <w:color w:val="000000"/>
                <w:sz w:val="28"/>
                <w:szCs w:val="28"/>
              </w:rPr>
            </w:pPr>
          </w:p>
        </w:tc>
        <w:tc>
          <w:tcPr>
            <w:tcW w:w="625" w:type="pct"/>
            <w:tcBorders>
              <w:tl2br w:val="nil"/>
              <w:tr2bl w:val="nil"/>
            </w:tcBorders>
            <w:shd w:val="clear" w:color="auto" w:fill="auto"/>
            <w:noWrap/>
            <w:vAlign w:val="center"/>
          </w:tcPr>
          <w:p>
            <w:pPr>
              <w:spacing w:line="32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风险画像</w:t>
            </w:r>
          </w:p>
        </w:tc>
        <w:tc>
          <w:tcPr>
            <w:tcW w:w="3183" w:type="pct"/>
            <w:tcBorders>
              <w:tl2br w:val="nil"/>
              <w:tr2bl w:val="nil"/>
            </w:tcBorders>
            <w:shd w:val="clear" w:color="auto" w:fill="auto"/>
            <w:vAlign w:val="center"/>
          </w:tcPr>
          <w:p>
            <w:pPr>
              <w:spacing w:line="32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针对采购单位和投标单位进行单独风险相关统计，可查询特定采购单位或投标单位在平台采购中产生的风险情况。</w:t>
            </w:r>
          </w:p>
        </w:tc>
        <w:tc>
          <w:tcPr>
            <w:tcW w:w="341" w:type="pct"/>
            <w:tcBorders>
              <w:tl2br w:val="nil"/>
              <w:tr2bl w:val="nil"/>
            </w:tcBorders>
          </w:tcPr>
          <w:p>
            <w:pPr>
              <w:spacing w:line="32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1" w:type="pct"/>
            <w:vMerge w:val="restart"/>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第三方数据互联互通接口对接</w:t>
            </w:r>
          </w:p>
        </w:tc>
        <w:tc>
          <w:tcPr>
            <w:tcW w:w="625" w:type="pct"/>
            <w:tcBorders>
              <w:tl2br w:val="nil"/>
              <w:tr2bl w:val="nil"/>
            </w:tcBorders>
            <w:shd w:val="clear" w:color="auto" w:fill="auto"/>
            <w:noWrap/>
            <w:vAlign w:val="center"/>
          </w:tcPr>
          <w:p>
            <w:pPr>
              <w:widowControl/>
              <w:spacing w:line="360" w:lineRule="exact"/>
              <w:jc w:val="center"/>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消息管理</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提供消息通知的功能，根据设定流程，对比如采购文件、公告、结果等重要信息，进行数据推送（</w:t>
            </w:r>
            <w:r>
              <w:rPr>
                <w:rFonts w:hint="eastAsia" w:ascii="仿宋" w:hAnsi="仿宋" w:eastAsia="仿宋" w:cs="仿宋"/>
                <w:snapToGrid w:val="0"/>
                <w:color w:val="000000"/>
                <w:kern w:val="0"/>
                <w:sz w:val="28"/>
                <w:szCs w:val="28"/>
                <w:lang w:eastAsia="zh-CN" w:bidi="ar"/>
              </w:rPr>
              <w:t>短信平台</w:t>
            </w:r>
            <w:r>
              <w:rPr>
                <w:rFonts w:hint="eastAsia" w:ascii="仿宋" w:hAnsi="仿宋" w:eastAsia="仿宋" w:cs="仿宋"/>
                <w:snapToGrid w:val="0"/>
                <w:color w:val="000000"/>
                <w:kern w:val="0"/>
                <w:sz w:val="28"/>
                <w:szCs w:val="28"/>
                <w:lang w:bidi="ar"/>
              </w:rPr>
              <w:t>或者院内OA）。</w:t>
            </w:r>
          </w:p>
        </w:tc>
        <w:tc>
          <w:tcPr>
            <w:tcW w:w="341" w:type="pct"/>
            <w:tcBorders>
              <w:tl2br w:val="nil"/>
              <w:tr2bl w:val="nil"/>
            </w:tcBorders>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auto"/>
            <w:noWrap/>
            <w:vAlign w:val="center"/>
          </w:tcPr>
          <w:p>
            <w:pPr>
              <w:widowControl/>
              <w:spacing w:line="360" w:lineRule="exact"/>
              <w:jc w:val="center"/>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财务系统</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专家费、保证金、应付款。</w:t>
            </w:r>
          </w:p>
        </w:tc>
        <w:tc>
          <w:tcPr>
            <w:tcW w:w="341" w:type="pct"/>
            <w:tcBorders>
              <w:tl2br w:val="nil"/>
              <w:tr2bl w:val="nil"/>
            </w:tcBorders>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highlight w:val="none"/>
              </w:rPr>
            </w:pPr>
          </w:p>
        </w:tc>
        <w:tc>
          <w:tcPr>
            <w:tcW w:w="625" w:type="pct"/>
            <w:tcBorders>
              <w:tl2br w:val="nil"/>
              <w:tr2bl w:val="nil"/>
            </w:tcBorders>
            <w:shd w:val="clear" w:color="auto" w:fill="auto"/>
            <w:noWrap/>
            <w:vAlign w:val="center"/>
          </w:tcPr>
          <w:p>
            <w:pPr>
              <w:widowControl/>
              <w:spacing w:line="360" w:lineRule="exact"/>
              <w:jc w:val="center"/>
              <w:textAlignment w:val="center"/>
              <w:rPr>
                <w:rFonts w:ascii="仿宋" w:hAnsi="仿宋" w:eastAsia="仿宋" w:cs="仿宋"/>
                <w:snapToGrid w:val="0"/>
                <w:color w:val="000000"/>
                <w:kern w:val="0"/>
                <w:sz w:val="28"/>
                <w:szCs w:val="28"/>
                <w:highlight w:val="none"/>
                <w:lang w:bidi="ar"/>
              </w:rPr>
            </w:pPr>
            <w:r>
              <w:rPr>
                <w:rFonts w:hint="eastAsia" w:ascii="仿宋" w:hAnsi="仿宋" w:eastAsia="仿宋" w:cs="仿宋"/>
                <w:snapToGrid w:val="0"/>
                <w:color w:val="000000"/>
                <w:kern w:val="0"/>
                <w:sz w:val="28"/>
                <w:szCs w:val="28"/>
                <w:highlight w:val="none"/>
                <w:lang w:bidi="ar"/>
              </w:rPr>
              <w:t>OA系统</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napToGrid w:val="0"/>
                <w:color w:val="000000"/>
                <w:kern w:val="0"/>
                <w:sz w:val="28"/>
                <w:szCs w:val="28"/>
                <w:highlight w:val="none"/>
                <w:lang w:bidi="ar"/>
              </w:rPr>
            </w:pPr>
            <w:r>
              <w:rPr>
                <w:rFonts w:hint="eastAsia" w:ascii="仿宋" w:hAnsi="仿宋" w:eastAsia="仿宋" w:cs="仿宋"/>
                <w:snapToGrid w:val="0"/>
                <w:color w:val="000000"/>
                <w:kern w:val="0"/>
                <w:sz w:val="28"/>
                <w:szCs w:val="28"/>
                <w:highlight w:val="none"/>
                <w:lang w:bidi="ar"/>
              </w:rPr>
              <w:t>对接组织架构、审批工作流</w:t>
            </w:r>
            <w:r>
              <w:rPr>
                <w:rFonts w:hint="eastAsia" w:ascii="仿宋" w:hAnsi="仿宋" w:eastAsia="仿宋" w:cs="仿宋"/>
                <w:snapToGrid w:val="0"/>
                <w:color w:val="000000"/>
                <w:kern w:val="0"/>
                <w:sz w:val="28"/>
                <w:szCs w:val="28"/>
                <w:highlight w:val="none"/>
                <w:lang w:eastAsia="zh-CN" w:bidi="ar"/>
              </w:rPr>
              <w:t>进行业务环节对接及</w:t>
            </w:r>
            <w:r>
              <w:rPr>
                <w:rFonts w:hint="eastAsia" w:ascii="仿宋" w:hAnsi="仿宋" w:eastAsia="仿宋" w:cs="仿宋"/>
                <w:snapToGrid w:val="0"/>
                <w:color w:val="000000"/>
                <w:kern w:val="0"/>
                <w:sz w:val="28"/>
                <w:szCs w:val="28"/>
                <w:highlight w:val="none"/>
                <w:lang w:bidi="ar"/>
              </w:rPr>
              <w:t>状态展示。</w:t>
            </w:r>
          </w:p>
        </w:tc>
        <w:tc>
          <w:tcPr>
            <w:tcW w:w="341" w:type="pct"/>
            <w:tcBorders>
              <w:tl2br w:val="nil"/>
              <w:tr2bl w:val="nil"/>
            </w:tcBorders>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rPr>
            </w:pPr>
          </w:p>
        </w:tc>
        <w:tc>
          <w:tcPr>
            <w:tcW w:w="625" w:type="pct"/>
            <w:tcBorders>
              <w:tl2br w:val="nil"/>
              <w:tr2bl w:val="nil"/>
            </w:tcBorders>
            <w:shd w:val="clear" w:color="auto" w:fill="auto"/>
            <w:noWrap/>
            <w:vAlign w:val="center"/>
          </w:tcPr>
          <w:p>
            <w:pPr>
              <w:widowControl/>
              <w:spacing w:line="360" w:lineRule="exact"/>
              <w:jc w:val="center"/>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门户网站</w:t>
            </w:r>
          </w:p>
        </w:tc>
        <w:tc>
          <w:tcPr>
            <w:tcW w:w="3183" w:type="pct"/>
            <w:tcBorders>
              <w:tl2br w:val="nil"/>
              <w:tr2bl w:val="nil"/>
            </w:tcBorders>
            <w:shd w:val="clear" w:color="auto" w:fill="auto"/>
            <w:vAlign w:val="center"/>
          </w:tcPr>
          <w:p>
            <w:pPr>
              <w:widowControl/>
              <w:spacing w:line="360" w:lineRule="exact"/>
              <w:jc w:val="left"/>
              <w:textAlignment w:val="center"/>
              <w:rPr>
                <w:rFonts w:ascii="仿宋" w:hAnsi="仿宋" w:eastAsia="仿宋" w:cs="仿宋"/>
                <w:snapToGrid w:val="0"/>
                <w:color w:val="000000"/>
                <w:kern w:val="0"/>
                <w:sz w:val="28"/>
                <w:szCs w:val="28"/>
                <w:lang w:bidi="ar"/>
              </w:rPr>
            </w:pPr>
            <w:r>
              <w:rPr>
                <w:rFonts w:hint="eastAsia" w:ascii="仿宋" w:hAnsi="仿宋" w:eastAsia="仿宋" w:cs="仿宋"/>
                <w:snapToGrid w:val="0"/>
                <w:color w:val="000000"/>
                <w:kern w:val="0"/>
                <w:sz w:val="28"/>
                <w:szCs w:val="28"/>
                <w:lang w:bidi="ar"/>
              </w:rPr>
              <w:t>公告、公示推送。</w:t>
            </w:r>
          </w:p>
        </w:tc>
        <w:tc>
          <w:tcPr>
            <w:tcW w:w="341" w:type="pct"/>
            <w:tcBorders>
              <w:tl2br w:val="nil"/>
              <w:tr2bl w:val="nil"/>
            </w:tcBorders>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1" w:type="pct"/>
            <w:vMerge w:val="continue"/>
            <w:tcBorders>
              <w:tl2br w:val="nil"/>
              <w:tr2bl w:val="nil"/>
            </w:tcBorders>
            <w:shd w:val="clear" w:color="auto" w:fill="auto"/>
            <w:noWrap/>
            <w:vAlign w:val="center"/>
          </w:tcPr>
          <w:p>
            <w:pPr>
              <w:spacing w:line="360" w:lineRule="exact"/>
              <w:jc w:val="center"/>
              <w:rPr>
                <w:rFonts w:ascii="仿宋" w:hAnsi="仿宋" w:eastAsia="仿宋" w:cs="仿宋"/>
                <w:color w:val="000000"/>
                <w:sz w:val="28"/>
                <w:szCs w:val="28"/>
                <w:highlight w:val="none"/>
              </w:rPr>
            </w:pPr>
          </w:p>
        </w:tc>
        <w:tc>
          <w:tcPr>
            <w:tcW w:w="625" w:type="pct"/>
            <w:tcBorders>
              <w:tl2br w:val="nil"/>
              <w:tr2bl w:val="nil"/>
            </w:tcBorders>
            <w:shd w:val="clear" w:color="auto" w:fill="auto"/>
            <w:noWrap/>
            <w:vAlign w:val="center"/>
          </w:tcPr>
          <w:p>
            <w:pPr>
              <w:widowControl/>
              <w:spacing w:line="360" w:lineRule="exact"/>
              <w:jc w:val="center"/>
              <w:textAlignment w:val="center"/>
              <w:rPr>
                <w:rFonts w:ascii="仿宋" w:hAnsi="仿宋" w:eastAsia="仿宋" w:cs="仿宋"/>
                <w:snapToGrid w:val="0"/>
                <w:color w:val="000000"/>
                <w:kern w:val="0"/>
                <w:sz w:val="28"/>
                <w:szCs w:val="28"/>
                <w:highlight w:val="none"/>
                <w:lang w:bidi="ar"/>
              </w:rPr>
            </w:pPr>
            <w:r>
              <w:rPr>
                <w:rFonts w:hint="eastAsia" w:ascii="仿宋" w:hAnsi="仿宋" w:eastAsia="仿宋" w:cs="仿宋"/>
                <w:snapToGrid w:val="0"/>
                <w:color w:val="000000"/>
                <w:kern w:val="0"/>
                <w:sz w:val="28"/>
                <w:szCs w:val="28"/>
                <w:highlight w:val="none"/>
                <w:lang w:bidi="ar"/>
              </w:rPr>
              <w:t>HRP系统</w:t>
            </w:r>
          </w:p>
        </w:tc>
        <w:tc>
          <w:tcPr>
            <w:tcW w:w="3183" w:type="pct"/>
            <w:tcBorders>
              <w:tl2br w:val="nil"/>
              <w:tr2bl w:val="nil"/>
            </w:tcBorders>
            <w:shd w:val="clear" w:color="auto" w:fill="auto"/>
            <w:vAlign w:val="center"/>
          </w:tcPr>
          <w:p>
            <w:pPr>
              <w:widowControl/>
              <w:spacing w:line="360" w:lineRule="exact"/>
              <w:jc w:val="left"/>
              <w:textAlignment w:val="center"/>
              <w:rPr>
                <w:rFonts w:hint="eastAsia" w:ascii="仿宋" w:hAnsi="仿宋" w:eastAsia="仿宋" w:cs="仿宋"/>
                <w:snapToGrid w:val="0"/>
                <w:color w:val="000000"/>
                <w:kern w:val="0"/>
                <w:sz w:val="28"/>
                <w:szCs w:val="28"/>
                <w:highlight w:val="none"/>
                <w:lang w:val="en-US" w:eastAsia="zh-CN" w:bidi="ar"/>
              </w:rPr>
            </w:pPr>
            <w:r>
              <w:rPr>
                <w:rFonts w:hint="eastAsia" w:ascii="仿宋" w:hAnsi="仿宋" w:eastAsia="仿宋" w:cs="仿宋"/>
                <w:snapToGrid w:val="0"/>
                <w:color w:val="000000"/>
                <w:kern w:val="0"/>
                <w:sz w:val="28"/>
                <w:szCs w:val="28"/>
                <w:highlight w:val="none"/>
                <w:lang w:val="en-US" w:eastAsia="zh-CN" w:bidi="ar"/>
              </w:rPr>
              <w:t>预算、付款、合同等模块对接。可根据医院需要，与器械、耗材等管理系统品目数据对接。</w:t>
            </w:r>
          </w:p>
        </w:tc>
        <w:tc>
          <w:tcPr>
            <w:tcW w:w="341" w:type="pct"/>
            <w:tcBorders>
              <w:tl2br w:val="nil"/>
              <w:tr2bl w:val="nil"/>
            </w:tcBorders>
          </w:tcPr>
          <w:p>
            <w:pPr>
              <w:widowControl/>
              <w:spacing w:line="360" w:lineRule="exact"/>
              <w:jc w:val="left"/>
              <w:textAlignment w:val="center"/>
              <w:rPr>
                <w:rFonts w:ascii="仿宋" w:hAnsi="仿宋" w:eastAsia="仿宋" w:cs="仿宋"/>
                <w:snapToGrid w:val="0"/>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1" w:type="pct"/>
            <w:tcBorders>
              <w:tl2br w:val="nil"/>
              <w:tr2bl w:val="nil"/>
            </w:tcBorders>
            <w:shd w:val="clear" w:color="auto" w:fill="auto"/>
            <w:noWrap/>
            <w:vAlign w:val="center"/>
          </w:tcPr>
          <w:p>
            <w:pPr>
              <w:spacing w:line="360" w:lineRule="exact"/>
              <w:jc w:val="center"/>
              <w:rPr>
                <w:rFonts w:hint="eastAsia" w:ascii="仿宋" w:hAnsi="仿宋" w:eastAsia="仿宋" w:cs="仿宋"/>
                <w:color w:val="000000"/>
                <w:sz w:val="28"/>
                <w:szCs w:val="28"/>
                <w:highlight w:val="none"/>
                <w:lang w:eastAsia="zh-CN"/>
              </w:rPr>
            </w:pPr>
            <w:r>
              <w:rPr>
                <w:rFonts w:hint="eastAsia" w:ascii="仿宋" w:hAnsi="仿宋" w:eastAsia="仿宋" w:cs="仿宋"/>
                <w:color w:val="000000"/>
                <w:sz w:val="28"/>
                <w:szCs w:val="28"/>
                <w:highlight w:val="none"/>
                <w:lang w:eastAsia="zh-CN"/>
              </w:rPr>
              <w:t>其他要求</w:t>
            </w:r>
          </w:p>
        </w:tc>
        <w:tc>
          <w:tcPr>
            <w:tcW w:w="625" w:type="pct"/>
            <w:tcBorders>
              <w:tl2br w:val="nil"/>
              <w:tr2bl w:val="nil"/>
            </w:tcBorders>
            <w:shd w:val="clear" w:color="auto" w:fill="auto"/>
            <w:noWrap/>
            <w:vAlign w:val="center"/>
          </w:tcPr>
          <w:p>
            <w:pPr>
              <w:widowControl/>
              <w:spacing w:line="360" w:lineRule="exact"/>
              <w:jc w:val="center"/>
              <w:textAlignment w:val="center"/>
              <w:rPr>
                <w:rFonts w:hint="eastAsia" w:ascii="仿宋" w:hAnsi="仿宋" w:eastAsia="仿宋" w:cs="仿宋"/>
                <w:snapToGrid w:val="0"/>
                <w:color w:val="000000"/>
                <w:kern w:val="0"/>
                <w:sz w:val="28"/>
                <w:szCs w:val="28"/>
                <w:highlight w:val="none"/>
                <w:lang w:bidi="ar"/>
              </w:rPr>
            </w:pPr>
          </w:p>
        </w:tc>
        <w:tc>
          <w:tcPr>
            <w:tcW w:w="3183" w:type="pct"/>
            <w:tcBorders>
              <w:tl2br w:val="nil"/>
              <w:tr2bl w:val="nil"/>
            </w:tcBorders>
            <w:shd w:val="clear" w:color="auto" w:fill="auto"/>
            <w:vAlign w:val="center"/>
          </w:tcPr>
          <w:p>
            <w:pPr>
              <w:widowControl/>
              <w:spacing w:line="360" w:lineRule="exact"/>
              <w:jc w:val="left"/>
              <w:textAlignment w:val="center"/>
              <w:rPr>
                <w:rFonts w:hint="eastAsia" w:ascii="仿宋" w:hAnsi="仿宋" w:eastAsia="仿宋" w:cs="仿宋"/>
                <w:snapToGrid w:val="0"/>
                <w:color w:val="000000"/>
                <w:kern w:val="0"/>
                <w:sz w:val="28"/>
                <w:szCs w:val="28"/>
                <w:highlight w:val="none"/>
                <w:lang w:val="en-US" w:eastAsia="zh-CN" w:bidi="ar"/>
              </w:rPr>
            </w:pPr>
          </w:p>
        </w:tc>
        <w:tc>
          <w:tcPr>
            <w:tcW w:w="341" w:type="pct"/>
            <w:tcBorders>
              <w:tl2br w:val="nil"/>
              <w:tr2bl w:val="nil"/>
            </w:tcBorders>
          </w:tcPr>
          <w:p>
            <w:pPr>
              <w:widowControl/>
              <w:spacing w:line="360" w:lineRule="exact"/>
              <w:jc w:val="left"/>
              <w:textAlignment w:val="center"/>
              <w:rPr>
                <w:rFonts w:ascii="仿宋" w:hAnsi="仿宋" w:eastAsia="仿宋" w:cs="仿宋"/>
                <w:snapToGrid w:val="0"/>
                <w:color w:val="000000"/>
                <w:kern w:val="0"/>
                <w:sz w:val="28"/>
                <w:szCs w:val="28"/>
                <w:lang w:bidi="ar"/>
              </w:rPr>
            </w:pPr>
          </w:p>
        </w:tc>
      </w:tr>
    </w:tbl>
    <w:p>
      <w:pPr>
        <w:tabs>
          <w:tab w:val="left" w:pos="619"/>
        </w:tabs>
        <w:spacing w:line="400" w:lineRule="exact"/>
        <w:ind w:firstLine="643"/>
        <w:jc w:val="center"/>
        <w:rPr>
          <w:rFonts w:ascii="仿宋" w:hAnsi="仿宋" w:eastAsia="仿宋"/>
          <w:sz w:val="32"/>
          <w:szCs w:val="32"/>
        </w:rPr>
      </w:pPr>
    </w:p>
    <w:p>
      <w:pPr>
        <w:tabs>
          <w:tab w:val="left" w:pos="619"/>
        </w:tabs>
        <w:spacing w:line="400" w:lineRule="exact"/>
        <w:ind w:firstLine="643"/>
        <w:jc w:val="center"/>
        <w:rPr>
          <w:rFonts w:ascii="仿宋" w:hAnsi="仿宋" w:eastAsia="仿宋"/>
          <w:sz w:val="32"/>
          <w:szCs w:val="32"/>
        </w:rPr>
      </w:pPr>
    </w:p>
    <w:p>
      <w:pPr>
        <w:pStyle w:val="7"/>
        <w:rPr>
          <w:rFonts w:hint="eastAsia" w:ascii="仿宋" w:hAnsi="仿宋" w:eastAsia="仿宋" w:cs="仿宋"/>
          <w:sz w:val="32"/>
          <w:szCs w:val="32"/>
        </w:rPr>
      </w:pPr>
      <w:r>
        <w:rPr>
          <w:rFonts w:hint="eastAsia" w:ascii="仿宋" w:hAnsi="仿宋" w:eastAsia="仿宋" w:cs="仿宋"/>
          <w:sz w:val="32"/>
          <w:szCs w:val="32"/>
        </w:rPr>
        <w:t>2.项目具体要求</w:t>
      </w:r>
    </w:p>
    <w:p>
      <w:pPr>
        <w:pStyle w:val="7"/>
        <w:rPr>
          <w:rFonts w:hint="eastAsia" w:ascii="仿宋" w:hAnsi="仿宋" w:eastAsia="仿宋" w:cs="仿宋"/>
          <w:sz w:val="32"/>
          <w:szCs w:val="32"/>
        </w:rPr>
      </w:pPr>
      <w:r>
        <w:rPr>
          <w:rFonts w:hint="eastAsia" w:ascii="仿宋" w:hAnsi="仿宋" w:eastAsia="仿宋" w:cs="仿宋"/>
          <w:sz w:val="32"/>
          <w:szCs w:val="32"/>
        </w:rPr>
        <w:t>2.1 系统实施工期</w:t>
      </w:r>
    </w:p>
    <w:p>
      <w:pPr>
        <w:pStyle w:val="7"/>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2.1.1中标方协助采购人进行基础数据录入，如功能清单中提及的供应商信息、预算信息、专家信息等等。</w:t>
      </w:r>
    </w:p>
    <w:p>
      <w:pPr>
        <w:pStyle w:val="7"/>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2.1.2自签订合同之日起2个月内上线调试合格完毕并交付使用</w:t>
      </w:r>
    </w:p>
    <w:p>
      <w:pPr>
        <w:pStyle w:val="7"/>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2.1.3 提供完整的文档资料。实施竣工文档资料须包含详细的数据结构、操作手册、培训资料、功能说明、插件清单、开源软件清单、服务器运行资料、存储路径等。</w:t>
      </w:r>
    </w:p>
    <w:p>
      <w:pPr>
        <w:pStyle w:val="7"/>
        <w:rPr>
          <w:rFonts w:hint="eastAsia" w:ascii="仿宋" w:hAnsi="仿宋" w:eastAsia="仿宋" w:cs="仿宋"/>
          <w:b w:val="0"/>
          <w:sz w:val="32"/>
          <w:szCs w:val="32"/>
          <w:lang w:val="en-US" w:eastAsia="zh-CN"/>
        </w:rPr>
      </w:pPr>
    </w:p>
    <w:p>
      <w:pPr>
        <w:pStyle w:val="7"/>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2.2 系统接口</w:t>
      </w:r>
    </w:p>
    <w:p>
      <w:pPr>
        <w:pStyle w:val="7"/>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2.2.1 凡供应商提供的系统软件需开发接口程序的，费用由供应商负责。</w:t>
      </w:r>
    </w:p>
    <w:p>
      <w:pPr>
        <w:pStyle w:val="7"/>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2.2.2 凡采购人在用的系统软件需要协调、开发相关接口的，所产生的费用由供应商负责</w:t>
      </w:r>
    </w:p>
    <w:p>
      <w:pPr>
        <w:tabs>
          <w:tab w:val="left" w:pos="619"/>
        </w:tabs>
        <w:spacing w:line="400" w:lineRule="exact"/>
        <w:jc w:val="both"/>
        <w:rPr>
          <w:rFonts w:hint="eastAsia" w:ascii="仿宋" w:hAnsi="仿宋" w:eastAsia="仿宋" w:cs="仿宋"/>
          <w:b w:val="0"/>
          <w:sz w:val="32"/>
          <w:szCs w:val="32"/>
        </w:rPr>
      </w:pPr>
    </w:p>
    <w:p>
      <w:pPr>
        <w:pStyle w:val="7"/>
        <w:rPr>
          <w:rFonts w:hint="eastAsia" w:ascii="仿宋" w:hAnsi="仿宋" w:eastAsia="仿宋" w:cs="仿宋"/>
          <w:sz w:val="32"/>
          <w:szCs w:val="32"/>
        </w:rPr>
      </w:pPr>
      <w:r>
        <w:rPr>
          <w:rFonts w:hint="eastAsia" w:ascii="仿宋" w:hAnsi="仿宋" w:eastAsia="仿宋" w:cs="仿宋"/>
          <w:sz w:val="32"/>
          <w:szCs w:val="32"/>
        </w:rPr>
        <w:t>2.3 系统维护</w:t>
      </w:r>
    </w:p>
    <w:p>
      <w:pPr>
        <w:pStyle w:val="7"/>
        <w:rPr>
          <w:rFonts w:hint="eastAsia" w:ascii="仿宋" w:hAnsi="仿宋" w:eastAsia="仿宋" w:cs="仿宋"/>
          <w:b w:val="0"/>
          <w:sz w:val="32"/>
          <w:szCs w:val="32"/>
        </w:rPr>
      </w:pPr>
      <w:r>
        <w:rPr>
          <w:rFonts w:hint="eastAsia" w:ascii="仿宋" w:hAnsi="仿宋" w:eastAsia="仿宋" w:cs="仿宋"/>
          <w:b w:val="0"/>
          <w:sz w:val="32"/>
          <w:szCs w:val="32"/>
        </w:rPr>
        <w:t>2.3.1 提供完整可靠的维护文档、数据结构和系统设计说明。</w:t>
      </w:r>
    </w:p>
    <w:p>
      <w:pPr>
        <w:pStyle w:val="7"/>
        <w:rPr>
          <w:rFonts w:hint="eastAsia" w:ascii="仿宋" w:hAnsi="仿宋" w:eastAsia="仿宋" w:cs="仿宋"/>
          <w:b w:val="0"/>
          <w:sz w:val="32"/>
          <w:szCs w:val="32"/>
        </w:rPr>
      </w:pPr>
      <w:r>
        <w:rPr>
          <w:rFonts w:hint="eastAsia" w:ascii="仿宋" w:hAnsi="仿宋" w:eastAsia="仿宋" w:cs="仿宋"/>
          <w:b w:val="0"/>
          <w:sz w:val="32"/>
          <w:szCs w:val="32"/>
        </w:rPr>
        <w:t>2.3.2 成交供应商提供系统免费维护和升级服务，免费维护期从正式验收完成的第二日计算。</w:t>
      </w:r>
    </w:p>
    <w:p>
      <w:pPr>
        <w:tabs>
          <w:tab w:val="left" w:pos="619"/>
        </w:tabs>
        <w:spacing w:line="400" w:lineRule="exact"/>
        <w:jc w:val="both"/>
        <w:rPr>
          <w:rFonts w:hint="eastAsia" w:ascii="仿宋" w:hAnsi="仿宋" w:eastAsia="仿宋" w:cs="仿宋"/>
          <w:b w:val="0"/>
          <w:sz w:val="32"/>
          <w:szCs w:val="32"/>
          <w:lang w:eastAsia="zh-CN"/>
        </w:rPr>
      </w:pPr>
    </w:p>
    <w:p>
      <w:pPr>
        <w:pStyle w:val="7"/>
        <w:rPr>
          <w:rFonts w:hint="eastAsia" w:ascii="仿宋" w:hAnsi="仿宋" w:eastAsia="仿宋" w:cs="仿宋"/>
          <w:sz w:val="32"/>
          <w:szCs w:val="32"/>
        </w:rPr>
      </w:pPr>
      <w:r>
        <w:rPr>
          <w:rFonts w:hint="eastAsia" w:ascii="仿宋" w:hAnsi="仿宋" w:eastAsia="仿宋" w:cs="仿宋"/>
          <w:sz w:val="32"/>
          <w:szCs w:val="32"/>
        </w:rPr>
        <w:t>2.4 用户管理和培训</w:t>
      </w:r>
    </w:p>
    <w:p>
      <w:pPr>
        <w:pStyle w:val="7"/>
        <w:rPr>
          <w:rFonts w:hint="eastAsia" w:ascii="仿宋" w:hAnsi="仿宋" w:eastAsia="仿宋" w:cs="仿宋"/>
          <w:b w:val="0"/>
          <w:sz w:val="32"/>
          <w:szCs w:val="32"/>
        </w:rPr>
      </w:pPr>
      <w:r>
        <w:rPr>
          <w:rFonts w:hint="eastAsia" w:ascii="仿宋" w:hAnsi="仿宋" w:eastAsia="仿宋" w:cs="仿宋"/>
          <w:b w:val="0"/>
          <w:sz w:val="32"/>
          <w:szCs w:val="32"/>
        </w:rPr>
        <w:t>2.4.</w:t>
      </w:r>
      <w:r>
        <w:rPr>
          <w:rFonts w:hint="eastAsia" w:ascii="仿宋" w:hAnsi="仿宋" w:eastAsia="仿宋" w:cs="仿宋"/>
          <w:b w:val="0"/>
          <w:sz w:val="32"/>
          <w:szCs w:val="32"/>
          <w:lang w:val="en-US" w:eastAsia="zh-CN"/>
        </w:rPr>
        <w:t xml:space="preserve">1  </w:t>
      </w:r>
      <w:r>
        <w:rPr>
          <w:rFonts w:hint="eastAsia" w:ascii="仿宋" w:hAnsi="仿宋" w:eastAsia="仿宋" w:cs="仿宋"/>
          <w:b w:val="0"/>
          <w:sz w:val="32"/>
          <w:szCs w:val="32"/>
        </w:rPr>
        <w:t>用户操作和系统管理界面要通俗易懂，符合业务习惯，容易操作，而且容易维护。软件提供的界面清晰，并符合用户的习惯；对操作的关键环节具有特别控制等。</w:t>
      </w:r>
    </w:p>
    <w:p>
      <w:pPr>
        <w:pStyle w:val="7"/>
        <w:rPr>
          <w:rFonts w:hint="eastAsia" w:ascii="仿宋" w:hAnsi="仿宋" w:eastAsia="仿宋" w:cs="仿宋"/>
          <w:b w:val="0"/>
          <w:sz w:val="32"/>
          <w:szCs w:val="32"/>
        </w:rPr>
      </w:pPr>
      <w:r>
        <w:rPr>
          <w:rFonts w:hint="eastAsia" w:ascii="仿宋" w:hAnsi="仿宋" w:eastAsia="仿宋" w:cs="仿宋"/>
          <w:b w:val="0"/>
          <w:sz w:val="32"/>
          <w:szCs w:val="32"/>
        </w:rPr>
        <w:t>2.4.</w:t>
      </w:r>
      <w:r>
        <w:rPr>
          <w:rFonts w:hint="eastAsia" w:ascii="仿宋" w:hAnsi="仿宋" w:eastAsia="仿宋" w:cs="仿宋"/>
          <w:b w:val="0"/>
          <w:sz w:val="32"/>
          <w:szCs w:val="32"/>
          <w:lang w:val="en-US" w:eastAsia="zh-CN"/>
        </w:rPr>
        <w:t>2</w:t>
      </w:r>
      <w:r>
        <w:rPr>
          <w:rFonts w:hint="eastAsia" w:ascii="仿宋" w:hAnsi="仿宋" w:eastAsia="仿宋" w:cs="仿宋"/>
          <w:b w:val="0"/>
          <w:sz w:val="32"/>
          <w:szCs w:val="32"/>
        </w:rPr>
        <w:t xml:space="preserve">  供应商对其提供产品或服务的使用和操作应尽培训义务。供应商应提供对采购人的基本培训，使采购人使用人员熟练掌握所培训内容，熟练掌握全部功能，培训的相关费用包括在响应报价中，采购人不再另行支付。</w:t>
      </w:r>
    </w:p>
    <w:p>
      <w:pPr>
        <w:spacing w:line="360" w:lineRule="auto"/>
        <w:rPr>
          <w:rFonts w:hint="eastAsia" w:ascii="仿宋" w:hAnsi="仿宋" w:eastAsia="仿宋" w:cs="仿宋"/>
          <w:kern w:val="2"/>
          <w:sz w:val="32"/>
          <w:szCs w:val="32"/>
        </w:rPr>
      </w:pPr>
    </w:p>
    <w:p>
      <w:pPr>
        <w:pStyle w:val="7"/>
        <w:rPr>
          <w:rFonts w:hint="eastAsia" w:ascii="仿宋" w:hAnsi="仿宋" w:eastAsia="仿宋" w:cs="仿宋"/>
          <w:sz w:val="32"/>
          <w:szCs w:val="32"/>
        </w:rPr>
      </w:pPr>
      <w:r>
        <w:rPr>
          <w:rFonts w:hint="eastAsia" w:ascii="仿宋" w:hAnsi="仿宋" w:eastAsia="仿宋" w:cs="仿宋"/>
          <w:sz w:val="32"/>
          <w:szCs w:val="32"/>
          <w:lang w:val="en-US" w:eastAsia="zh-CN"/>
        </w:rPr>
        <w:t>2.5 软件正版化原则</w:t>
      </w:r>
    </w:p>
    <w:p>
      <w:pPr>
        <w:pStyle w:val="7"/>
        <w:ind w:firstLine="640" w:firstLineChars="200"/>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本项目供应商必须保证提供的产品（软件、服务内容）系自主研发或者依法享有完全的知识产权，并且提供本项目运行所需的服务器操作系统、</w:t>
      </w:r>
      <w:r>
        <w:rPr>
          <w:rFonts w:hint="eastAsia" w:ascii="仿宋" w:hAnsi="仿宋" w:eastAsia="仿宋" w:cs="仿宋"/>
          <w:b w:val="0"/>
          <w:color w:val="FF0000"/>
          <w:sz w:val="32"/>
          <w:szCs w:val="32"/>
          <w:lang w:val="en-US" w:eastAsia="zh-CN"/>
        </w:rPr>
        <w:t>中间件、</w:t>
      </w:r>
      <w:r>
        <w:rPr>
          <w:rFonts w:hint="eastAsia" w:ascii="仿宋" w:hAnsi="仿宋" w:eastAsia="仿宋" w:cs="仿宋"/>
          <w:b w:val="0"/>
          <w:sz w:val="32"/>
          <w:szCs w:val="32"/>
          <w:lang w:val="en-US" w:eastAsia="zh-CN"/>
        </w:rPr>
        <w:t>数据库等正版授权。采购人在中华人民共和国境内使用供应商提供的产品及服务时免受第三方提出的侵犯其专利权或其它知识产权的起诉。如果第三方提出侵权指控，中标供应商应承担由此而引起的一切法律责任和费用。</w:t>
      </w:r>
    </w:p>
    <w:p>
      <w:pPr>
        <w:spacing w:line="360" w:lineRule="auto"/>
        <w:rPr>
          <w:rFonts w:hint="eastAsia" w:ascii="仿宋" w:hAnsi="仿宋" w:eastAsia="仿宋" w:cs="仿宋"/>
          <w:kern w:val="2"/>
          <w:sz w:val="32"/>
          <w:szCs w:val="32"/>
        </w:rPr>
      </w:pPr>
    </w:p>
    <w:p>
      <w:pPr>
        <w:pStyle w:val="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 信息安全</w:t>
      </w:r>
    </w:p>
    <w:p>
      <w:pPr>
        <w:pStyle w:val="7"/>
        <w:ind w:firstLine="640" w:firstLineChars="200"/>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2.6.1本项目所产生的所有数据所有者均为采购方，供应商在任何时期均不得不经允许拷贝、外传，不得设置障碍影响采购方获取数据。</w:t>
      </w:r>
    </w:p>
    <w:p>
      <w:pPr>
        <w:pStyle w:val="7"/>
        <w:ind w:firstLine="640" w:firstLineChars="200"/>
        <w:rPr>
          <w:rFonts w:hint="default" w:ascii="仿宋" w:hAnsi="仿宋" w:eastAsia="仿宋" w:cs="仿宋"/>
          <w:b w:val="0"/>
          <w:sz w:val="32"/>
          <w:szCs w:val="32"/>
          <w:lang w:val="en-US" w:eastAsia="zh-CN"/>
        </w:rPr>
      </w:pPr>
      <w:r>
        <w:rPr>
          <w:rFonts w:hint="eastAsia" w:ascii="仿宋" w:hAnsi="仿宋" w:eastAsia="仿宋" w:cs="仿宋"/>
          <w:b w:val="0"/>
          <w:sz w:val="32"/>
          <w:szCs w:val="32"/>
          <w:lang w:val="en-US" w:eastAsia="zh-CN"/>
        </w:rPr>
        <w:t>2.6.2本项目所涉及的产品符合“国家信息安全等级保护三级认证</w:t>
      </w:r>
      <w:r>
        <w:rPr>
          <w:rFonts w:hint="default" w:ascii="仿宋" w:hAnsi="仿宋" w:eastAsia="仿宋" w:cs="仿宋"/>
          <w:b w:val="0"/>
          <w:sz w:val="32"/>
          <w:szCs w:val="32"/>
          <w:lang w:val="en-US" w:eastAsia="zh-CN"/>
        </w:rPr>
        <w:t>”</w:t>
      </w:r>
      <w:r>
        <w:rPr>
          <w:rFonts w:hint="eastAsia" w:ascii="仿宋" w:hAnsi="仿宋" w:eastAsia="仿宋" w:cs="仿宋"/>
          <w:b w:val="0"/>
          <w:sz w:val="32"/>
          <w:szCs w:val="32"/>
          <w:lang w:val="en-US" w:eastAsia="zh-CN"/>
        </w:rPr>
        <w:t>要求，在系统实施及运行期间，如使用方自行检测或按照国家要求测评，</w:t>
      </w:r>
      <w:r>
        <w:rPr>
          <w:rFonts w:hint="eastAsia" w:ascii="仿宋" w:hAnsi="仿宋" w:eastAsia="仿宋" w:cs="仿宋"/>
          <w:b w:val="0"/>
          <w:color w:val="FF0000"/>
          <w:sz w:val="32"/>
          <w:szCs w:val="32"/>
          <w:lang w:val="en-US" w:eastAsia="zh-CN"/>
        </w:rPr>
        <w:t>协助进行定级备案，</w:t>
      </w:r>
      <w:r>
        <w:rPr>
          <w:rFonts w:hint="eastAsia" w:ascii="仿宋" w:hAnsi="仿宋" w:eastAsia="仿宋" w:cs="仿宋"/>
          <w:b w:val="0"/>
          <w:sz w:val="32"/>
          <w:szCs w:val="32"/>
          <w:lang w:val="en-US" w:eastAsia="zh-CN"/>
        </w:rPr>
        <w:t>存在不符合以上要求或安全漏洞，供应商应立即整改，不得另外收取费用。</w:t>
      </w:r>
    </w:p>
    <w:p>
      <w:pPr>
        <w:spacing w:line="360" w:lineRule="auto"/>
        <w:rPr>
          <w:rFonts w:hint="eastAsia" w:ascii="仿宋" w:hAnsi="仿宋" w:eastAsia="仿宋" w:cs="仿宋"/>
          <w:kern w:val="2"/>
          <w:sz w:val="32"/>
          <w:szCs w:val="32"/>
        </w:rPr>
      </w:pPr>
    </w:p>
    <w:p>
      <w:pPr>
        <w:tabs>
          <w:tab w:val="left" w:pos="619"/>
        </w:tabs>
        <w:spacing w:line="400" w:lineRule="exact"/>
        <w:jc w:val="both"/>
        <w:rPr>
          <w:rFonts w:hint="eastAsia" w:ascii="仿宋" w:hAnsi="仿宋" w:eastAsia="仿宋" w:cs="仿宋"/>
          <w:b w:val="0"/>
          <w:sz w:val="32"/>
          <w:szCs w:val="32"/>
          <w:lang w:eastAsia="zh-CN"/>
        </w:rPr>
      </w:pPr>
    </w:p>
    <w:sectPr>
      <w:pgSz w:w="16838" w:h="11906" w:orient="landscape"/>
      <w:pgMar w:top="1418" w:right="2155" w:bottom="1418" w:left="1531" w:header="851" w:footer="992" w:gutter="0"/>
      <w:pgNumType w:start="5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20598"/>
    <w:multiLevelType w:val="multilevel"/>
    <w:tmpl w:val="60520598"/>
    <w:lvl w:ilvl="0" w:tentative="0">
      <w:start w:val="1"/>
      <w:numFmt w:val="chineseCountingThousand"/>
      <w:lvlText w:val="%1、"/>
      <w:lvlJc w:val="left"/>
      <w:pPr>
        <w:ind w:left="0" w:firstLine="0"/>
      </w:pPr>
      <w:rPr>
        <w:rFonts w:hint="eastAsia" w:ascii="宋体" w:eastAsia="宋体"/>
        <w:b/>
        <w:i w:val="0"/>
      </w:rPr>
    </w:lvl>
    <w:lvl w:ilvl="1" w:tentative="0">
      <w:start w:val="1"/>
      <w:numFmt w:val="decimal"/>
      <w:isLgl/>
      <w:lvlText w:val="%1.%2"/>
      <w:lvlJc w:val="left"/>
      <w:pPr>
        <w:ind w:left="425" w:firstLine="0"/>
      </w:pPr>
      <w:rPr>
        <w:rFonts w:hint="eastAsia" w:ascii="宋体" w:eastAsia="宋体"/>
        <w:b/>
        <w:i w:val="0"/>
      </w:rPr>
    </w:lvl>
    <w:lvl w:ilvl="2" w:tentative="0">
      <w:start w:val="1"/>
      <w:numFmt w:val="decimal"/>
      <w:isLgl/>
      <w:lvlText w:val="%1.%2.%3"/>
      <w:lvlJc w:val="left"/>
      <w:pPr>
        <w:ind w:left="0" w:firstLine="0"/>
      </w:pPr>
      <w:rPr>
        <w:rFonts w:hint="eastAsia" w:ascii="宋体" w:eastAsia="宋体"/>
        <w:b/>
        <w:i w:val="0"/>
      </w:rPr>
    </w:lvl>
    <w:lvl w:ilvl="3" w:tentative="0">
      <w:start w:val="1"/>
      <w:numFmt w:val="decimal"/>
      <w:pStyle w:val="4"/>
      <w:isLgl/>
      <w:lvlText w:val="%1.%2.%3.%4"/>
      <w:lvlJc w:val="left"/>
      <w:pPr>
        <w:ind w:left="0" w:firstLine="0"/>
      </w:pPr>
      <w:rPr>
        <w:rFonts w:hint="eastAsia" w:ascii="宋体" w:eastAsia="宋体"/>
        <w:b/>
        <w:i w:val="0"/>
      </w:rPr>
    </w:lvl>
    <w:lvl w:ilvl="4" w:tentative="0">
      <w:start w:val="1"/>
      <w:numFmt w:val="decimal"/>
      <w:isLgl/>
      <w:lvlText w:val="%1.%2.%3.%4.%5"/>
      <w:lvlJc w:val="left"/>
      <w:pPr>
        <w:ind w:left="0" w:firstLine="0"/>
      </w:pPr>
      <w:rPr>
        <w:rFonts w:hint="eastAsia" w:ascii="宋体" w:eastAsia="宋体"/>
        <w:b/>
        <w:i w:val="0"/>
      </w:rPr>
    </w:lvl>
    <w:lvl w:ilvl="5" w:tentative="0">
      <w:start w:val="1"/>
      <w:numFmt w:val="decimal"/>
      <w:isLgl/>
      <w:lvlText w:val="%1.%2.%3.%4.%5.%6"/>
      <w:lvlJc w:val="left"/>
      <w:pPr>
        <w:ind w:left="0" w:firstLine="0"/>
      </w:pPr>
      <w:rPr>
        <w:rFonts w:hint="eastAsia" w:ascii="宋体" w:eastAsia="宋体"/>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dit="readOnly"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hYmMwNmE1N2NjZjE1NWVlOTVmNDMyYTRhNDJjZDEifQ=="/>
    <w:docVar w:name="DocumentID" w:val="{02609020-4EFE-4D0D-AB14-625EF7AF57DD}"/>
    <w:docVar w:name="DocumentName" w:val="235b4d10-92ff-4449-8d72-73bb2a07ff52"/>
    <w:docVar w:name="KGWebUrl" w:val="https://ezone.diwork.com/official/rest/documentItems/121157/download/62567a5e7504e146f6810a21?memberId=3751229"/>
  </w:docVars>
  <w:rsids>
    <w:rsidRoot w:val="00086A30"/>
    <w:rsid w:val="00001A42"/>
    <w:rsid w:val="0000407C"/>
    <w:rsid w:val="000115F8"/>
    <w:rsid w:val="00030A0A"/>
    <w:rsid w:val="00052A68"/>
    <w:rsid w:val="00066D60"/>
    <w:rsid w:val="00082E5C"/>
    <w:rsid w:val="00086A30"/>
    <w:rsid w:val="000B2086"/>
    <w:rsid w:val="000B4862"/>
    <w:rsid w:val="000B5564"/>
    <w:rsid w:val="000C24B6"/>
    <w:rsid w:val="000D0102"/>
    <w:rsid w:val="000D2372"/>
    <w:rsid w:val="000F0C17"/>
    <w:rsid w:val="000F120C"/>
    <w:rsid w:val="000F78DA"/>
    <w:rsid w:val="00100E68"/>
    <w:rsid w:val="00116F35"/>
    <w:rsid w:val="001711A0"/>
    <w:rsid w:val="00184B87"/>
    <w:rsid w:val="0019209F"/>
    <w:rsid w:val="0019547A"/>
    <w:rsid w:val="001A2510"/>
    <w:rsid w:val="001A5B29"/>
    <w:rsid w:val="001B56C1"/>
    <w:rsid w:val="001D0254"/>
    <w:rsid w:val="001E3F8C"/>
    <w:rsid w:val="001F0389"/>
    <w:rsid w:val="00221A33"/>
    <w:rsid w:val="002247A9"/>
    <w:rsid w:val="00225C25"/>
    <w:rsid w:val="00250201"/>
    <w:rsid w:val="00287771"/>
    <w:rsid w:val="002B2EEC"/>
    <w:rsid w:val="002C21B4"/>
    <w:rsid w:val="002D51A6"/>
    <w:rsid w:val="002E349C"/>
    <w:rsid w:val="002E39B9"/>
    <w:rsid w:val="002E7D56"/>
    <w:rsid w:val="002F6FD8"/>
    <w:rsid w:val="00306547"/>
    <w:rsid w:val="00311A0E"/>
    <w:rsid w:val="003127B2"/>
    <w:rsid w:val="00320F83"/>
    <w:rsid w:val="0035276C"/>
    <w:rsid w:val="00372CD5"/>
    <w:rsid w:val="00373DBF"/>
    <w:rsid w:val="003A5696"/>
    <w:rsid w:val="003B3366"/>
    <w:rsid w:val="003D18E4"/>
    <w:rsid w:val="003E3C40"/>
    <w:rsid w:val="00407A96"/>
    <w:rsid w:val="0041499C"/>
    <w:rsid w:val="004254AB"/>
    <w:rsid w:val="00432F38"/>
    <w:rsid w:val="004353B0"/>
    <w:rsid w:val="00456850"/>
    <w:rsid w:val="00456D62"/>
    <w:rsid w:val="00484BBC"/>
    <w:rsid w:val="005005B2"/>
    <w:rsid w:val="0050223D"/>
    <w:rsid w:val="00510754"/>
    <w:rsid w:val="0052698E"/>
    <w:rsid w:val="00542A77"/>
    <w:rsid w:val="0054314D"/>
    <w:rsid w:val="00572CB5"/>
    <w:rsid w:val="0059405E"/>
    <w:rsid w:val="005A4D4D"/>
    <w:rsid w:val="005C6DF5"/>
    <w:rsid w:val="005C7611"/>
    <w:rsid w:val="005D5FCD"/>
    <w:rsid w:val="00632340"/>
    <w:rsid w:val="00633214"/>
    <w:rsid w:val="006407B1"/>
    <w:rsid w:val="00643187"/>
    <w:rsid w:val="0065034A"/>
    <w:rsid w:val="006505BF"/>
    <w:rsid w:val="00681AED"/>
    <w:rsid w:val="00684C6D"/>
    <w:rsid w:val="00684C82"/>
    <w:rsid w:val="006B196C"/>
    <w:rsid w:val="006B5F69"/>
    <w:rsid w:val="006B6592"/>
    <w:rsid w:val="006D7208"/>
    <w:rsid w:val="006F4C23"/>
    <w:rsid w:val="00716F5C"/>
    <w:rsid w:val="00722B36"/>
    <w:rsid w:val="00724ED9"/>
    <w:rsid w:val="00727800"/>
    <w:rsid w:val="0074632F"/>
    <w:rsid w:val="0074721D"/>
    <w:rsid w:val="007475B4"/>
    <w:rsid w:val="00784CF7"/>
    <w:rsid w:val="00784EBF"/>
    <w:rsid w:val="0078755E"/>
    <w:rsid w:val="007A1FC0"/>
    <w:rsid w:val="007C2738"/>
    <w:rsid w:val="007D519F"/>
    <w:rsid w:val="007E2434"/>
    <w:rsid w:val="007E7747"/>
    <w:rsid w:val="00810DE9"/>
    <w:rsid w:val="00815D13"/>
    <w:rsid w:val="008305BE"/>
    <w:rsid w:val="0083284F"/>
    <w:rsid w:val="00841C66"/>
    <w:rsid w:val="008426BD"/>
    <w:rsid w:val="0085219E"/>
    <w:rsid w:val="008523D3"/>
    <w:rsid w:val="00861645"/>
    <w:rsid w:val="0086216D"/>
    <w:rsid w:val="008631B6"/>
    <w:rsid w:val="0086411E"/>
    <w:rsid w:val="00884F8C"/>
    <w:rsid w:val="00885684"/>
    <w:rsid w:val="008A5221"/>
    <w:rsid w:val="008C48D0"/>
    <w:rsid w:val="008C719F"/>
    <w:rsid w:val="008E0A45"/>
    <w:rsid w:val="00926A7F"/>
    <w:rsid w:val="009518C8"/>
    <w:rsid w:val="00957691"/>
    <w:rsid w:val="0096726D"/>
    <w:rsid w:val="009D4456"/>
    <w:rsid w:val="009E7E96"/>
    <w:rsid w:val="00A039F9"/>
    <w:rsid w:val="00A17C71"/>
    <w:rsid w:val="00A26EBE"/>
    <w:rsid w:val="00A626F5"/>
    <w:rsid w:val="00A675D7"/>
    <w:rsid w:val="00A70BBE"/>
    <w:rsid w:val="00A714B5"/>
    <w:rsid w:val="00AB5BF4"/>
    <w:rsid w:val="00AC2261"/>
    <w:rsid w:val="00AD573C"/>
    <w:rsid w:val="00AE4489"/>
    <w:rsid w:val="00AE69C5"/>
    <w:rsid w:val="00AF52C3"/>
    <w:rsid w:val="00B24634"/>
    <w:rsid w:val="00B33AD0"/>
    <w:rsid w:val="00B51F74"/>
    <w:rsid w:val="00B65C99"/>
    <w:rsid w:val="00B66962"/>
    <w:rsid w:val="00B7057B"/>
    <w:rsid w:val="00B74486"/>
    <w:rsid w:val="00B96819"/>
    <w:rsid w:val="00BA7D26"/>
    <w:rsid w:val="00BC47C2"/>
    <w:rsid w:val="00BD4A79"/>
    <w:rsid w:val="00BE03E9"/>
    <w:rsid w:val="00BE5384"/>
    <w:rsid w:val="00BF0994"/>
    <w:rsid w:val="00BF1EBA"/>
    <w:rsid w:val="00C3192C"/>
    <w:rsid w:val="00C31948"/>
    <w:rsid w:val="00C44FED"/>
    <w:rsid w:val="00C46B9E"/>
    <w:rsid w:val="00C609FF"/>
    <w:rsid w:val="00C74E7C"/>
    <w:rsid w:val="00C933D3"/>
    <w:rsid w:val="00CB23EB"/>
    <w:rsid w:val="00CC6999"/>
    <w:rsid w:val="00CD26D2"/>
    <w:rsid w:val="00CE26C1"/>
    <w:rsid w:val="00D03E61"/>
    <w:rsid w:val="00D332FA"/>
    <w:rsid w:val="00D42C53"/>
    <w:rsid w:val="00D4462F"/>
    <w:rsid w:val="00D6342F"/>
    <w:rsid w:val="00D7608B"/>
    <w:rsid w:val="00D97E10"/>
    <w:rsid w:val="00DA2A78"/>
    <w:rsid w:val="00DA62A1"/>
    <w:rsid w:val="00DA66F0"/>
    <w:rsid w:val="00DC6A57"/>
    <w:rsid w:val="00DC7953"/>
    <w:rsid w:val="00E01BAC"/>
    <w:rsid w:val="00E23C64"/>
    <w:rsid w:val="00E55664"/>
    <w:rsid w:val="00EB1812"/>
    <w:rsid w:val="00EC63AF"/>
    <w:rsid w:val="00ED18F1"/>
    <w:rsid w:val="00EE658C"/>
    <w:rsid w:val="00EF3BE2"/>
    <w:rsid w:val="00F14759"/>
    <w:rsid w:val="00F419A8"/>
    <w:rsid w:val="00F52E3C"/>
    <w:rsid w:val="00F53C8A"/>
    <w:rsid w:val="00F61E1F"/>
    <w:rsid w:val="00F64F00"/>
    <w:rsid w:val="00F70ED7"/>
    <w:rsid w:val="00F81884"/>
    <w:rsid w:val="00F84C70"/>
    <w:rsid w:val="00FB1830"/>
    <w:rsid w:val="00FB3B41"/>
    <w:rsid w:val="00FC0542"/>
    <w:rsid w:val="00FD4A38"/>
    <w:rsid w:val="00FE24A3"/>
    <w:rsid w:val="03CC3F79"/>
    <w:rsid w:val="040000C7"/>
    <w:rsid w:val="056F3E7F"/>
    <w:rsid w:val="09BE2B4A"/>
    <w:rsid w:val="0AF7F08E"/>
    <w:rsid w:val="0B74B45C"/>
    <w:rsid w:val="0BEA941D"/>
    <w:rsid w:val="0C7E076A"/>
    <w:rsid w:val="0CDFB6A5"/>
    <w:rsid w:val="0E724063"/>
    <w:rsid w:val="0F565941"/>
    <w:rsid w:val="0F7B38E4"/>
    <w:rsid w:val="0FFF2628"/>
    <w:rsid w:val="0FFF58A6"/>
    <w:rsid w:val="109C6E4F"/>
    <w:rsid w:val="11904838"/>
    <w:rsid w:val="12843625"/>
    <w:rsid w:val="1288526B"/>
    <w:rsid w:val="12C83A60"/>
    <w:rsid w:val="133F8765"/>
    <w:rsid w:val="13AC6743"/>
    <w:rsid w:val="13BCBB08"/>
    <w:rsid w:val="14061086"/>
    <w:rsid w:val="148B65D7"/>
    <w:rsid w:val="14FFC303"/>
    <w:rsid w:val="15FF9647"/>
    <w:rsid w:val="161828EA"/>
    <w:rsid w:val="166B7B09"/>
    <w:rsid w:val="1757981B"/>
    <w:rsid w:val="17B78AEE"/>
    <w:rsid w:val="17BF2702"/>
    <w:rsid w:val="18925EAF"/>
    <w:rsid w:val="194E1220"/>
    <w:rsid w:val="19732D83"/>
    <w:rsid w:val="1A746C06"/>
    <w:rsid w:val="1ABF3698"/>
    <w:rsid w:val="1AF76D71"/>
    <w:rsid w:val="1AFB0DF4"/>
    <w:rsid w:val="1B8A3E10"/>
    <w:rsid w:val="1BC52B4E"/>
    <w:rsid w:val="1BDF4F96"/>
    <w:rsid w:val="1C2775DA"/>
    <w:rsid w:val="1CBDE0B7"/>
    <w:rsid w:val="1CD5F436"/>
    <w:rsid w:val="1CFA4726"/>
    <w:rsid w:val="1D052280"/>
    <w:rsid w:val="1D6AAF84"/>
    <w:rsid w:val="1DBF3CDE"/>
    <w:rsid w:val="1DCC75C6"/>
    <w:rsid w:val="1DD7B5A0"/>
    <w:rsid w:val="1DDF2C86"/>
    <w:rsid w:val="1DF33D91"/>
    <w:rsid w:val="1E74728F"/>
    <w:rsid w:val="1E7F40CC"/>
    <w:rsid w:val="1EB3459C"/>
    <w:rsid w:val="1F2BE753"/>
    <w:rsid w:val="1F793E7F"/>
    <w:rsid w:val="1F7AA9C2"/>
    <w:rsid w:val="1FA5211D"/>
    <w:rsid w:val="1FB7FE5F"/>
    <w:rsid w:val="1FBABDCA"/>
    <w:rsid w:val="1FBD219E"/>
    <w:rsid w:val="1FBDD919"/>
    <w:rsid w:val="1FBFA2B1"/>
    <w:rsid w:val="1FD5264B"/>
    <w:rsid w:val="1FDE640B"/>
    <w:rsid w:val="1FDFEB45"/>
    <w:rsid w:val="1FEE28E2"/>
    <w:rsid w:val="1FEF2FA5"/>
    <w:rsid w:val="1FFEF469"/>
    <w:rsid w:val="1FFFF8A1"/>
    <w:rsid w:val="208A5A1D"/>
    <w:rsid w:val="212E2C91"/>
    <w:rsid w:val="21BF132D"/>
    <w:rsid w:val="21C35049"/>
    <w:rsid w:val="22C06E47"/>
    <w:rsid w:val="236F0D6F"/>
    <w:rsid w:val="23D45955"/>
    <w:rsid w:val="23F5B4D9"/>
    <w:rsid w:val="23FF4C7B"/>
    <w:rsid w:val="24233884"/>
    <w:rsid w:val="24AC3A7B"/>
    <w:rsid w:val="2639F142"/>
    <w:rsid w:val="267B69D1"/>
    <w:rsid w:val="2777C4CF"/>
    <w:rsid w:val="27814EF7"/>
    <w:rsid w:val="27B74D1B"/>
    <w:rsid w:val="27FF8D5A"/>
    <w:rsid w:val="28BD016B"/>
    <w:rsid w:val="29791F0B"/>
    <w:rsid w:val="297E5AAD"/>
    <w:rsid w:val="2AFB885F"/>
    <w:rsid w:val="2AFC1ABB"/>
    <w:rsid w:val="2B6675DF"/>
    <w:rsid w:val="2B710DDE"/>
    <w:rsid w:val="2BF30177"/>
    <w:rsid w:val="2BF7AA28"/>
    <w:rsid w:val="2C4041F0"/>
    <w:rsid w:val="2C8D0211"/>
    <w:rsid w:val="2CD0D344"/>
    <w:rsid w:val="2CFF12D0"/>
    <w:rsid w:val="2CFFAB67"/>
    <w:rsid w:val="2D9F70CB"/>
    <w:rsid w:val="2DB2701C"/>
    <w:rsid w:val="2DB782D0"/>
    <w:rsid w:val="2DBB8AC7"/>
    <w:rsid w:val="2E3671D6"/>
    <w:rsid w:val="2E6777E4"/>
    <w:rsid w:val="2E73C8A6"/>
    <w:rsid w:val="2E764BB4"/>
    <w:rsid w:val="2EEB63D0"/>
    <w:rsid w:val="2EF61A17"/>
    <w:rsid w:val="2EFF6348"/>
    <w:rsid w:val="2F3F9AEC"/>
    <w:rsid w:val="2F7F2FE4"/>
    <w:rsid w:val="2F9E314A"/>
    <w:rsid w:val="2FAFA209"/>
    <w:rsid w:val="2FB74363"/>
    <w:rsid w:val="2FDB5137"/>
    <w:rsid w:val="2FDB52BD"/>
    <w:rsid w:val="2FF33B41"/>
    <w:rsid w:val="2FF6F5CC"/>
    <w:rsid w:val="2FFE1CD2"/>
    <w:rsid w:val="2FFE9986"/>
    <w:rsid w:val="2FFF30ED"/>
    <w:rsid w:val="2FFFC11C"/>
    <w:rsid w:val="2FFFD41A"/>
    <w:rsid w:val="30236193"/>
    <w:rsid w:val="31DF611E"/>
    <w:rsid w:val="333B6778"/>
    <w:rsid w:val="33B81674"/>
    <w:rsid w:val="33D5489C"/>
    <w:rsid w:val="33EE5893"/>
    <w:rsid w:val="33FF003F"/>
    <w:rsid w:val="34C71317"/>
    <w:rsid w:val="35445306"/>
    <w:rsid w:val="35C59375"/>
    <w:rsid w:val="35EFBED7"/>
    <w:rsid w:val="35FC77A6"/>
    <w:rsid w:val="368075B4"/>
    <w:rsid w:val="36C0E352"/>
    <w:rsid w:val="36CF3E74"/>
    <w:rsid w:val="36FA277B"/>
    <w:rsid w:val="3736A2BD"/>
    <w:rsid w:val="377F1253"/>
    <w:rsid w:val="3793D4F9"/>
    <w:rsid w:val="379B467A"/>
    <w:rsid w:val="37AB6383"/>
    <w:rsid w:val="37C72B4E"/>
    <w:rsid w:val="37DFB2C3"/>
    <w:rsid w:val="37FBB01C"/>
    <w:rsid w:val="37FF11EA"/>
    <w:rsid w:val="389E2A00"/>
    <w:rsid w:val="38FECECA"/>
    <w:rsid w:val="397BB3D0"/>
    <w:rsid w:val="399F2555"/>
    <w:rsid w:val="39BD6FC6"/>
    <w:rsid w:val="39EF2AC5"/>
    <w:rsid w:val="3AD9437E"/>
    <w:rsid w:val="3AFDACAF"/>
    <w:rsid w:val="3AFDB45C"/>
    <w:rsid w:val="3AFF799C"/>
    <w:rsid w:val="3AFF8F80"/>
    <w:rsid w:val="3B195F67"/>
    <w:rsid w:val="3BB74629"/>
    <w:rsid w:val="3BB98ABF"/>
    <w:rsid w:val="3BD43051"/>
    <w:rsid w:val="3BED747E"/>
    <w:rsid w:val="3BEED562"/>
    <w:rsid w:val="3BFF2AA2"/>
    <w:rsid w:val="3BFFE633"/>
    <w:rsid w:val="3C57AFCE"/>
    <w:rsid w:val="3CBF4793"/>
    <w:rsid w:val="3CDC5467"/>
    <w:rsid w:val="3CEF1244"/>
    <w:rsid w:val="3CF501FB"/>
    <w:rsid w:val="3D012B51"/>
    <w:rsid w:val="3D1B6DFC"/>
    <w:rsid w:val="3D7FEBCA"/>
    <w:rsid w:val="3D94ADCF"/>
    <w:rsid w:val="3D9EE14B"/>
    <w:rsid w:val="3DAF053A"/>
    <w:rsid w:val="3DBDF2C8"/>
    <w:rsid w:val="3DE68E57"/>
    <w:rsid w:val="3DEB62C7"/>
    <w:rsid w:val="3DF5742C"/>
    <w:rsid w:val="3DF6A3C9"/>
    <w:rsid w:val="3DFE8E73"/>
    <w:rsid w:val="3E5FB2EA"/>
    <w:rsid w:val="3E7D3C08"/>
    <w:rsid w:val="3E7E5D19"/>
    <w:rsid w:val="3E7EFF84"/>
    <w:rsid w:val="3E7FCF7D"/>
    <w:rsid w:val="3ED34DC2"/>
    <w:rsid w:val="3EDF0FE0"/>
    <w:rsid w:val="3EEF2C77"/>
    <w:rsid w:val="3EF6E186"/>
    <w:rsid w:val="3EFDEB65"/>
    <w:rsid w:val="3F2A2500"/>
    <w:rsid w:val="3F375A43"/>
    <w:rsid w:val="3F5A9D70"/>
    <w:rsid w:val="3F638263"/>
    <w:rsid w:val="3F769796"/>
    <w:rsid w:val="3F7D13FC"/>
    <w:rsid w:val="3F7E5F5A"/>
    <w:rsid w:val="3F7F0C67"/>
    <w:rsid w:val="3F7F2F5B"/>
    <w:rsid w:val="3F7F54BC"/>
    <w:rsid w:val="3F7FE8BE"/>
    <w:rsid w:val="3F9F3B3D"/>
    <w:rsid w:val="3FAF5BBA"/>
    <w:rsid w:val="3FC520A5"/>
    <w:rsid w:val="3FCD5E78"/>
    <w:rsid w:val="3FCE9624"/>
    <w:rsid w:val="3FCE9FB9"/>
    <w:rsid w:val="3FCF29DF"/>
    <w:rsid w:val="3FCFDF21"/>
    <w:rsid w:val="3FDFB24E"/>
    <w:rsid w:val="3FE30513"/>
    <w:rsid w:val="3FE6A5F0"/>
    <w:rsid w:val="3FED9504"/>
    <w:rsid w:val="3FEFD736"/>
    <w:rsid w:val="3FF53CCA"/>
    <w:rsid w:val="3FFBD10B"/>
    <w:rsid w:val="3FFBE918"/>
    <w:rsid w:val="3FFBEA5F"/>
    <w:rsid w:val="3FFBFF93"/>
    <w:rsid w:val="3FFF23A9"/>
    <w:rsid w:val="3FFF376E"/>
    <w:rsid w:val="3FFF94AE"/>
    <w:rsid w:val="3FFFB967"/>
    <w:rsid w:val="3FFFE796"/>
    <w:rsid w:val="40E37C31"/>
    <w:rsid w:val="420A63C3"/>
    <w:rsid w:val="431C0F4D"/>
    <w:rsid w:val="43A8DD6C"/>
    <w:rsid w:val="440A7A9D"/>
    <w:rsid w:val="457798F6"/>
    <w:rsid w:val="46F3D871"/>
    <w:rsid w:val="47B92807"/>
    <w:rsid w:val="47CD0500"/>
    <w:rsid w:val="47E9C428"/>
    <w:rsid w:val="47EB6CE0"/>
    <w:rsid w:val="47F77A7B"/>
    <w:rsid w:val="47FE2A0F"/>
    <w:rsid w:val="48ADF116"/>
    <w:rsid w:val="48CE25C2"/>
    <w:rsid w:val="48EF5240"/>
    <w:rsid w:val="498A01A7"/>
    <w:rsid w:val="4AFE4683"/>
    <w:rsid w:val="4B9B8CCE"/>
    <w:rsid w:val="4BEED85F"/>
    <w:rsid w:val="4BF504C8"/>
    <w:rsid w:val="4BFB0A74"/>
    <w:rsid w:val="4CB22BAD"/>
    <w:rsid w:val="4CC6A049"/>
    <w:rsid w:val="4D5EC4D4"/>
    <w:rsid w:val="4E480A3A"/>
    <w:rsid w:val="4E4CF46D"/>
    <w:rsid w:val="4E695230"/>
    <w:rsid w:val="4EB65EA2"/>
    <w:rsid w:val="4EC79BFE"/>
    <w:rsid w:val="4EF28B43"/>
    <w:rsid w:val="4EFB0177"/>
    <w:rsid w:val="4F7FF3D8"/>
    <w:rsid w:val="4F97CEF9"/>
    <w:rsid w:val="4F990304"/>
    <w:rsid w:val="4FBF6CE1"/>
    <w:rsid w:val="4FD68A6E"/>
    <w:rsid w:val="4FD71ED1"/>
    <w:rsid w:val="4FDE59AB"/>
    <w:rsid w:val="4FFB95BE"/>
    <w:rsid w:val="51D3784E"/>
    <w:rsid w:val="52232583"/>
    <w:rsid w:val="52271ED3"/>
    <w:rsid w:val="525F04C0"/>
    <w:rsid w:val="52A4FE77"/>
    <w:rsid w:val="52B16E2E"/>
    <w:rsid w:val="531F96D4"/>
    <w:rsid w:val="5377B53F"/>
    <w:rsid w:val="538F76A9"/>
    <w:rsid w:val="53BFC63F"/>
    <w:rsid w:val="54BF8E09"/>
    <w:rsid w:val="54F7AE68"/>
    <w:rsid w:val="557FFA80"/>
    <w:rsid w:val="569E97B2"/>
    <w:rsid w:val="56B6562F"/>
    <w:rsid w:val="56E04F86"/>
    <w:rsid w:val="56FBB28D"/>
    <w:rsid w:val="575E55E4"/>
    <w:rsid w:val="57730AED"/>
    <w:rsid w:val="5794744B"/>
    <w:rsid w:val="579B78B2"/>
    <w:rsid w:val="579F50B6"/>
    <w:rsid w:val="579FF537"/>
    <w:rsid w:val="57B5AC2B"/>
    <w:rsid w:val="57B738B5"/>
    <w:rsid w:val="57DE1124"/>
    <w:rsid w:val="57F708F9"/>
    <w:rsid w:val="57F75B25"/>
    <w:rsid w:val="57F75E69"/>
    <w:rsid w:val="57FC0261"/>
    <w:rsid w:val="57FD4F87"/>
    <w:rsid w:val="57FF967D"/>
    <w:rsid w:val="57FFBF28"/>
    <w:rsid w:val="57FFCF0B"/>
    <w:rsid w:val="57FFF1FD"/>
    <w:rsid w:val="5873188F"/>
    <w:rsid w:val="58733B38"/>
    <w:rsid w:val="595EDD70"/>
    <w:rsid w:val="59AFB9FE"/>
    <w:rsid w:val="59DFDD2A"/>
    <w:rsid w:val="5A7FE29A"/>
    <w:rsid w:val="5ACA86F9"/>
    <w:rsid w:val="5AF7C0BE"/>
    <w:rsid w:val="5AFCFD2C"/>
    <w:rsid w:val="5B3B8519"/>
    <w:rsid w:val="5B3FFAD3"/>
    <w:rsid w:val="5B56666C"/>
    <w:rsid w:val="5B7B3748"/>
    <w:rsid w:val="5B9D73B8"/>
    <w:rsid w:val="5BBA7AD0"/>
    <w:rsid w:val="5BBF241E"/>
    <w:rsid w:val="5BBF3A09"/>
    <w:rsid w:val="5BF4276A"/>
    <w:rsid w:val="5BF5B0CB"/>
    <w:rsid w:val="5BFA44BF"/>
    <w:rsid w:val="5BFDC39C"/>
    <w:rsid w:val="5BFE1D01"/>
    <w:rsid w:val="5BFF3568"/>
    <w:rsid w:val="5C3E6700"/>
    <w:rsid w:val="5C4E3E51"/>
    <w:rsid w:val="5C7F23F2"/>
    <w:rsid w:val="5C7FC4B9"/>
    <w:rsid w:val="5CF214D0"/>
    <w:rsid w:val="5D3F65BB"/>
    <w:rsid w:val="5D8C4929"/>
    <w:rsid w:val="5D97A3C3"/>
    <w:rsid w:val="5DBCD246"/>
    <w:rsid w:val="5DBEEF20"/>
    <w:rsid w:val="5DF126EC"/>
    <w:rsid w:val="5DF7ACA0"/>
    <w:rsid w:val="5DF9B49E"/>
    <w:rsid w:val="5DFB374B"/>
    <w:rsid w:val="5DFD713C"/>
    <w:rsid w:val="5E3F64A7"/>
    <w:rsid w:val="5E5D51E4"/>
    <w:rsid w:val="5E771B34"/>
    <w:rsid w:val="5E7E8FDA"/>
    <w:rsid w:val="5E7F53DD"/>
    <w:rsid w:val="5EB73308"/>
    <w:rsid w:val="5EBB301F"/>
    <w:rsid w:val="5EBFCF90"/>
    <w:rsid w:val="5ED3C66C"/>
    <w:rsid w:val="5EE55EB3"/>
    <w:rsid w:val="5EEF2643"/>
    <w:rsid w:val="5EEF82E4"/>
    <w:rsid w:val="5EF72BF6"/>
    <w:rsid w:val="5EFA4931"/>
    <w:rsid w:val="5EFB8AF9"/>
    <w:rsid w:val="5EFCE421"/>
    <w:rsid w:val="5EFF35FC"/>
    <w:rsid w:val="5EFF4939"/>
    <w:rsid w:val="5F1F7689"/>
    <w:rsid w:val="5F2B0BD7"/>
    <w:rsid w:val="5F5A94D5"/>
    <w:rsid w:val="5F5F9905"/>
    <w:rsid w:val="5F6B3646"/>
    <w:rsid w:val="5F6C338B"/>
    <w:rsid w:val="5F6EEFC4"/>
    <w:rsid w:val="5F7903FF"/>
    <w:rsid w:val="5F7F3379"/>
    <w:rsid w:val="5F7FD99B"/>
    <w:rsid w:val="5F7FE491"/>
    <w:rsid w:val="5FB5BE99"/>
    <w:rsid w:val="5FBBE768"/>
    <w:rsid w:val="5FBDBAD6"/>
    <w:rsid w:val="5FBEF31D"/>
    <w:rsid w:val="5FC2BF60"/>
    <w:rsid w:val="5FC33DC9"/>
    <w:rsid w:val="5FCFCE80"/>
    <w:rsid w:val="5FDF393B"/>
    <w:rsid w:val="5FDF8E5C"/>
    <w:rsid w:val="5FE9D8FB"/>
    <w:rsid w:val="5FEA2D77"/>
    <w:rsid w:val="5FEB9A1D"/>
    <w:rsid w:val="5FEF3409"/>
    <w:rsid w:val="5FEFC8AB"/>
    <w:rsid w:val="5FF28557"/>
    <w:rsid w:val="5FF4CA66"/>
    <w:rsid w:val="5FF70EF1"/>
    <w:rsid w:val="5FFAE806"/>
    <w:rsid w:val="5FFE590B"/>
    <w:rsid w:val="5FFEC230"/>
    <w:rsid w:val="5FFF6749"/>
    <w:rsid w:val="5FFF8D98"/>
    <w:rsid w:val="5FFF9DDC"/>
    <w:rsid w:val="5FFF9FD4"/>
    <w:rsid w:val="6054057D"/>
    <w:rsid w:val="60B63450"/>
    <w:rsid w:val="611209C5"/>
    <w:rsid w:val="612BC85B"/>
    <w:rsid w:val="618A28B7"/>
    <w:rsid w:val="61FF4958"/>
    <w:rsid w:val="624A4F96"/>
    <w:rsid w:val="62FB256A"/>
    <w:rsid w:val="630FF511"/>
    <w:rsid w:val="63761197"/>
    <w:rsid w:val="63E762FE"/>
    <w:rsid w:val="63EF1C8F"/>
    <w:rsid w:val="63F36A2E"/>
    <w:rsid w:val="63FF5FF5"/>
    <w:rsid w:val="647A3AD3"/>
    <w:rsid w:val="64FB1216"/>
    <w:rsid w:val="657D7680"/>
    <w:rsid w:val="65AFC4B8"/>
    <w:rsid w:val="65BFA57A"/>
    <w:rsid w:val="65CD0E55"/>
    <w:rsid w:val="65DF6CF7"/>
    <w:rsid w:val="65EF54CD"/>
    <w:rsid w:val="65F71903"/>
    <w:rsid w:val="65F9A0B9"/>
    <w:rsid w:val="6677C9E1"/>
    <w:rsid w:val="66F2AED6"/>
    <w:rsid w:val="66F9C85B"/>
    <w:rsid w:val="6727C884"/>
    <w:rsid w:val="67533152"/>
    <w:rsid w:val="6777C105"/>
    <w:rsid w:val="677DE2D9"/>
    <w:rsid w:val="677FC202"/>
    <w:rsid w:val="67BA53CB"/>
    <w:rsid w:val="67BBAA19"/>
    <w:rsid w:val="67D731AB"/>
    <w:rsid w:val="67DF91E7"/>
    <w:rsid w:val="67EBD511"/>
    <w:rsid w:val="67EFDC68"/>
    <w:rsid w:val="67F0E9E2"/>
    <w:rsid w:val="67F7DF03"/>
    <w:rsid w:val="67F9C6B2"/>
    <w:rsid w:val="67FBD793"/>
    <w:rsid w:val="68B65734"/>
    <w:rsid w:val="69D57F8E"/>
    <w:rsid w:val="69FBFEC5"/>
    <w:rsid w:val="6A9E2E0B"/>
    <w:rsid w:val="6AB2006D"/>
    <w:rsid w:val="6AFA5EA8"/>
    <w:rsid w:val="6AFF7347"/>
    <w:rsid w:val="6B1EEE49"/>
    <w:rsid w:val="6B57AC75"/>
    <w:rsid w:val="6B5F7CF3"/>
    <w:rsid w:val="6B73ADE0"/>
    <w:rsid w:val="6BBB4602"/>
    <w:rsid w:val="6BBF20DC"/>
    <w:rsid w:val="6BBF954E"/>
    <w:rsid w:val="6BEDA374"/>
    <w:rsid w:val="6BEF4DBF"/>
    <w:rsid w:val="6BEF628A"/>
    <w:rsid w:val="6BF7DB2D"/>
    <w:rsid w:val="6C6A4441"/>
    <w:rsid w:val="6C7E2BCC"/>
    <w:rsid w:val="6D2531FB"/>
    <w:rsid w:val="6D3EB576"/>
    <w:rsid w:val="6D43FE8A"/>
    <w:rsid w:val="6D6D1157"/>
    <w:rsid w:val="6D7B3258"/>
    <w:rsid w:val="6D954250"/>
    <w:rsid w:val="6D97DC1E"/>
    <w:rsid w:val="6DB95198"/>
    <w:rsid w:val="6DBA9416"/>
    <w:rsid w:val="6DCF40DD"/>
    <w:rsid w:val="6DD77017"/>
    <w:rsid w:val="6DEFB6FA"/>
    <w:rsid w:val="6DF758FC"/>
    <w:rsid w:val="6DFE5FA0"/>
    <w:rsid w:val="6DFF876E"/>
    <w:rsid w:val="6E1E1B5F"/>
    <w:rsid w:val="6E277BB7"/>
    <w:rsid w:val="6E4F9E72"/>
    <w:rsid w:val="6E6D66B6"/>
    <w:rsid w:val="6E6F8490"/>
    <w:rsid w:val="6E7F661E"/>
    <w:rsid w:val="6E7FD505"/>
    <w:rsid w:val="6EB7D622"/>
    <w:rsid w:val="6EBBF2A1"/>
    <w:rsid w:val="6EBF4BFA"/>
    <w:rsid w:val="6EDE040D"/>
    <w:rsid w:val="6EF5C747"/>
    <w:rsid w:val="6EF95ED9"/>
    <w:rsid w:val="6EFD8EB8"/>
    <w:rsid w:val="6EFF4A6D"/>
    <w:rsid w:val="6EFF87C6"/>
    <w:rsid w:val="6F07FA09"/>
    <w:rsid w:val="6F1BFE73"/>
    <w:rsid w:val="6F3C2BEE"/>
    <w:rsid w:val="6F3F17B3"/>
    <w:rsid w:val="6F5B1FDF"/>
    <w:rsid w:val="6F6BFAB0"/>
    <w:rsid w:val="6F6FC4CB"/>
    <w:rsid w:val="6F77F54B"/>
    <w:rsid w:val="6F791A88"/>
    <w:rsid w:val="6F8D869F"/>
    <w:rsid w:val="6FA458EC"/>
    <w:rsid w:val="6FB72C63"/>
    <w:rsid w:val="6FB78693"/>
    <w:rsid w:val="6FBDD945"/>
    <w:rsid w:val="6FBDEEF6"/>
    <w:rsid w:val="6FBFF9F8"/>
    <w:rsid w:val="6FC7F6AF"/>
    <w:rsid w:val="6FD52F91"/>
    <w:rsid w:val="6FD79436"/>
    <w:rsid w:val="6FDB8BDC"/>
    <w:rsid w:val="6FDD48CB"/>
    <w:rsid w:val="6FEF9290"/>
    <w:rsid w:val="6FEFFF48"/>
    <w:rsid w:val="6FF70D4B"/>
    <w:rsid w:val="6FF7D27C"/>
    <w:rsid w:val="6FF7D3B2"/>
    <w:rsid w:val="6FF9889A"/>
    <w:rsid w:val="6FF9F10C"/>
    <w:rsid w:val="6FFD229F"/>
    <w:rsid w:val="6FFDACDB"/>
    <w:rsid w:val="6FFDDCF4"/>
    <w:rsid w:val="6FFED762"/>
    <w:rsid w:val="6FFF562C"/>
    <w:rsid w:val="6FFF9745"/>
    <w:rsid w:val="6FFFB321"/>
    <w:rsid w:val="6FFFEADB"/>
    <w:rsid w:val="6FFFFBA8"/>
    <w:rsid w:val="70DB224B"/>
    <w:rsid w:val="71181C77"/>
    <w:rsid w:val="71B5FC93"/>
    <w:rsid w:val="71FF806F"/>
    <w:rsid w:val="72CF9DB7"/>
    <w:rsid w:val="72FD4E38"/>
    <w:rsid w:val="736F55C6"/>
    <w:rsid w:val="73706363"/>
    <w:rsid w:val="7371E98C"/>
    <w:rsid w:val="737589E9"/>
    <w:rsid w:val="73772B80"/>
    <w:rsid w:val="737E038A"/>
    <w:rsid w:val="73BE0438"/>
    <w:rsid w:val="73BE3561"/>
    <w:rsid w:val="73BF42C7"/>
    <w:rsid w:val="73D6DC80"/>
    <w:rsid w:val="73DB6FB7"/>
    <w:rsid w:val="73DF958B"/>
    <w:rsid w:val="73EBFAD6"/>
    <w:rsid w:val="73F72AF4"/>
    <w:rsid w:val="73FB8342"/>
    <w:rsid w:val="73FBD0A9"/>
    <w:rsid w:val="73FF0325"/>
    <w:rsid w:val="73FF7DD0"/>
    <w:rsid w:val="741F13A7"/>
    <w:rsid w:val="74731A6E"/>
    <w:rsid w:val="747F9BBF"/>
    <w:rsid w:val="74B6475C"/>
    <w:rsid w:val="74F9BEC7"/>
    <w:rsid w:val="752DC327"/>
    <w:rsid w:val="756F6576"/>
    <w:rsid w:val="756FC8FD"/>
    <w:rsid w:val="757338E0"/>
    <w:rsid w:val="75779F4C"/>
    <w:rsid w:val="759E054E"/>
    <w:rsid w:val="75A3E58B"/>
    <w:rsid w:val="75B32B2F"/>
    <w:rsid w:val="75C7D16D"/>
    <w:rsid w:val="75D13355"/>
    <w:rsid w:val="75DBE62B"/>
    <w:rsid w:val="75DE0BCF"/>
    <w:rsid w:val="75E771C5"/>
    <w:rsid w:val="75F539D1"/>
    <w:rsid w:val="75FB9158"/>
    <w:rsid w:val="75FF1B49"/>
    <w:rsid w:val="76614F29"/>
    <w:rsid w:val="76730151"/>
    <w:rsid w:val="768FAD83"/>
    <w:rsid w:val="769E7314"/>
    <w:rsid w:val="769F559F"/>
    <w:rsid w:val="76B6EF4C"/>
    <w:rsid w:val="76CDF0F5"/>
    <w:rsid w:val="76FB680A"/>
    <w:rsid w:val="76FD093B"/>
    <w:rsid w:val="76FE7D9F"/>
    <w:rsid w:val="76FEF143"/>
    <w:rsid w:val="76FF0D2E"/>
    <w:rsid w:val="76FF7191"/>
    <w:rsid w:val="76FF9318"/>
    <w:rsid w:val="773B5B90"/>
    <w:rsid w:val="774DE487"/>
    <w:rsid w:val="77530965"/>
    <w:rsid w:val="7756BE6D"/>
    <w:rsid w:val="77591A1F"/>
    <w:rsid w:val="775C73EA"/>
    <w:rsid w:val="775C9749"/>
    <w:rsid w:val="775FBDC2"/>
    <w:rsid w:val="776F64EE"/>
    <w:rsid w:val="777A87EE"/>
    <w:rsid w:val="777EDF4D"/>
    <w:rsid w:val="777EFD24"/>
    <w:rsid w:val="777FCB60"/>
    <w:rsid w:val="7792C287"/>
    <w:rsid w:val="779D1479"/>
    <w:rsid w:val="77A9F92A"/>
    <w:rsid w:val="77AE0D3A"/>
    <w:rsid w:val="77AFB025"/>
    <w:rsid w:val="77B20FC8"/>
    <w:rsid w:val="77BB9E23"/>
    <w:rsid w:val="77BDFEE0"/>
    <w:rsid w:val="77BE29AC"/>
    <w:rsid w:val="77BE8552"/>
    <w:rsid w:val="77CC85F4"/>
    <w:rsid w:val="77CF4704"/>
    <w:rsid w:val="77CFFE26"/>
    <w:rsid w:val="77D222E7"/>
    <w:rsid w:val="77D39E4B"/>
    <w:rsid w:val="77D78218"/>
    <w:rsid w:val="77DD9FC1"/>
    <w:rsid w:val="77DFB362"/>
    <w:rsid w:val="77EAD703"/>
    <w:rsid w:val="77EE77FB"/>
    <w:rsid w:val="77F6E3D4"/>
    <w:rsid w:val="77F7583D"/>
    <w:rsid w:val="77FA7431"/>
    <w:rsid w:val="77FD3519"/>
    <w:rsid w:val="77FD6082"/>
    <w:rsid w:val="77FDFCED"/>
    <w:rsid w:val="77FEF4DB"/>
    <w:rsid w:val="77FF3B73"/>
    <w:rsid w:val="77FF52EF"/>
    <w:rsid w:val="786C1317"/>
    <w:rsid w:val="786FC463"/>
    <w:rsid w:val="78B885DF"/>
    <w:rsid w:val="78C63990"/>
    <w:rsid w:val="78EBFD85"/>
    <w:rsid w:val="78FD2977"/>
    <w:rsid w:val="79001BF9"/>
    <w:rsid w:val="79662DAF"/>
    <w:rsid w:val="79667D30"/>
    <w:rsid w:val="797A0BBB"/>
    <w:rsid w:val="79967288"/>
    <w:rsid w:val="79B3C4B7"/>
    <w:rsid w:val="79DBD33C"/>
    <w:rsid w:val="79DED43F"/>
    <w:rsid w:val="79DF2085"/>
    <w:rsid w:val="79E5C4B8"/>
    <w:rsid w:val="79EB60B8"/>
    <w:rsid w:val="7A3B94A5"/>
    <w:rsid w:val="7AB2D2D4"/>
    <w:rsid w:val="7AB7FC7C"/>
    <w:rsid w:val="7ADF8567"/>
    <w:rsid w:val="7AEBF00A"/>
    <w:rsid w:val="7AF53BC6"/>
    <w:rsid w:val="7AFE6387"/>
    <w:rsid w:val="7AFF415F"/>
    <w:rsid w:val="7AFFB173"/>
    <w:rsid w:val="7B1F3111"/>
    <w:rsid w:val="7B1FCC6E"/>
    <w:rsid w:val="7B3712EC"/>
    <w:rsid w:val="7B3B5E06"/>
    <w:rsid w:val="7B4A2A51"/>
    <w:rsid w:val="7B4FB21F"/>
    <w:rsid w:val="7B5783A9"/>
    <w:rsid w:val="7B5E4001"/>
    <w:rsid w:val="7B734973"/>
    <w:rsid w:val="7B737FFE"/>
    <w:rsid w:val="7B7FC37C"/>
    <w:rsid w:val="7B9AF2D7"/>
    <w:rsid w:val="7B9B1B9A"/>
    <w:rsid w:val="7BA5C7E0"/>
    <w:rsid w:val="7BB06437"/>
    <w:rsid w:val="7BB6C157"/>
    <w:rsid w:val="7BBEFD36"/>
    <w:rsid w:val="7BD75CEA"/>
    <w:rsid w:val="7BDDF5DB"/>
    <w:rsid w:val="7BE3E2CD"/>
    <w:rsid w:val="7BE55C69"/>
    <w:rsid w:val="7BE73737"/>
    <w:rsid w:val="7BE7C63B"/>
    <w:rsid w:val="7BEE9B3A"/>
    <w:rsid w:val="7BEEFE72"/>
    <w:rsid w:val="7BEF7D29"/>
    <w:rsid w:val="7BEF8806"/>
    <w:rsid w:val="7BEFFD47"/>
    <w:rsid w:val="7BF5A3E2"/>
    <w:rsid w:val="7BF5E940"/>
    <w:rsid w:val="7BF5F932"/>
    <w:rsid w:val="7BF738E0"/>
    <w:rsid w:val="7BFBE405"/>
    <w:rsid w:val="7BFD54E4"/>
    <w:rsid w:val="7BFDA698"/>
    <w:rsid w:val="7BFF4B1B"/>
    <w:rsid w:val="7BFFDACA"/>
    <w:rsid w:val="7C5F3DCD"/>
    <w:rsid w:val="7C9FCF8E"/>
    <w:rsid w:val="7CB90E7D"/>
    <w:rsid w:val="7CBC9E01"/>
    <w:rsid w:val="7CBF7E27"/>
    <w:rsid w:val="7CF394B6"/>
    <w:rsid w:val="7CF5FDE2"/>
    <w:rsid w:val="7CF75D0D"/>
    <w:rsid w:val="7CF99517"/>
    <w:rsid w:val="7D5EB270"/>
    <w:rsid w:val="7D5F5CFE"/>
    <w:rsid w:val="7D6E1539"/>
    <w:rsid w:val="7D6FA45F"/>
    <w:rsid w:val="7D6FCC8D"/>
    <w:rsid w:val="7D77F990"/>
    <w:rsid w:val="7D7CADFA"/>
    <w:rsid w:val="7D7EC421"/>
    <w:rsid w:val="7D7FF668"/>
    <w:rsid w:val="7D9FA5D1"/>
    <w:rsid w:val="7DA52F5B"/>
    <w:rsid w:val="7DCF8896"/>
    <w:rsid w:val="7DDE9E7E"/>
    <w:rsid w:val="7DDF59A9"/>
    <w:rsid w:val="7DDF829E"/>
    <w:rsid w:val="7DDFB24B"/>
    <w:rsid w:val="7DDFEAF5"/>
    <w:rsid w:val="7DE7837C"/>
    <w:rsid w:val="7DE956D2"/>
    <w:rsid w:val="7DEB72C1"/>
    <w:rsid w:val="7DEF9086"/>
    <w:rsid w:val="7DEFC463"/>
    <w:rsid w:val="7DFD7F63"/>
    <w:rsid w:val="7DFED3D1"/>
    <w:rsid w:val="7DFF0A02"/>
    <w:rsid w:val="7E37EB0A"/>
    <w:rsid w:val="7E4BB8AB"/>
    <w:rsid w:val="7E731DD8"/>
    <w:rsid w:val="7E749D3D"/>
    <w:rsid w:val="7E761FAC"/>
    <w:rsid w:val="7E7E9158"/>
    <w:rsid w:val="7E7F4557"/>
    <w:rsid w:val="7E7FE3D3"/>
    <w:rsid w:val="7E852DC1"/>
    <w:rsid w:val="7E9D3D39"/>
    <w:rsid w:val="7E9FE692"/>
    <w:rsid w:val="7EAF674B"/>
    <w:rsid w:val="7EAFFB14"/>
    <w:rsid w:val="7EBB9FEF"/>
    <w:rsid w:val="7ECEC14A"/>
    <w:rsid w:val="7ECF1CFD"/>
    <w:rsid w:val="7EE70293"/>
    <w:rsid w:val="7EEF641B"/>
    <w:rsid w:val="7EF370F9"/>
    <w:rsid w:val="7EF58307"/>
    <w:rsid w:val="7EF9EBAB"/>
    <w:rsid w:val="7EFACFD0"/>
    <w:rsid w:val="7EFE3EF8"/>
    <w:rsid w:val="7EFEA62F"/>
    <w:rsid w:val="7EFF24F0"/>
    <w:rsid w:val="7EFF2FD9"/>
    <w:rsid w:val="7EFFDFAE"/>
    <w:rsid w:val="7EFFFC0E"/>
    <w:rsid w:val="7F2E9559"/>
    <w:rsid w:val="7F3E925C"/>
    <w:rsid w:val="7F4C65FC"/>
    <w:rsid w:val="7F4E2343"/>
    <w:rsid w:val="7F5BE061"/>
    <w:rsid w:val="7F5E1E2A"/>
    <w:rsid w:val="7F64E852"/>
    <w:rsid w:val="7F6BC927"/>
    <w:rsid w:val="7F6E077C"/>
    <w:rsid w:val="7F75A8E9"/>
    <w:rsid w:val="7F766FB2"/>
    <w:rsid w:val="7F7DF5E7"/>
    <w:rsid w:val="7F7F8757"/>
    <w:rsid w:val="7F7F925A"/>
    <w:rsid w:val="7F87F197"/>
    <w:rsid w:val="7F93E787"/>
    <w:rsid w:val="7F9BEB23"/>
    <w:rsid w:val="7F9D0A9B"/>
    <w:rsid w:val="7F9DE3D7"/>
    <w:rsid w:val="7F9F0E43"/>
    <w:rsid w:val="7FA3B24E"/>
    <w:rsid w:val="7FAAE6EB"/>
    <w:rsid w:val="7FAB8EDB"/>
    <w:rsid w:val="7FB650D3"/>
    <w:rsid w:val="7FB712F0"/>
    <w:rsid w:val="7FB9782E"/>
    <w:rsid w:val="7FBDBD8C"/>
    <w:rsid w:val="7FBF9125"/>
    <w:rsid w:val="7FBFC783"/>
    <w:rsid w:val="7FC5E16E"/>
    <w:rsid w:val="7FD30C8D"/>
    <w:rsid w:val="7FD70813"/>
    <w:rsid w:val="7FDB152A"/>
    <w:rsid w:val="7FDB81C3"/>
    <w:rsid w:val="7FDE56BF"/>
    <w:rsid w:val="7FDE612B"/>
    <w:rsid w:val="7FDEF17C"/>
    <w:rsid w:val="7FDF4567"/>
    <w:rsid w:val="7FDF9426"/>
    <w:rsid w:val="7FDF9D23"/>
    <w:rsid w:val="7FDFA4CC"/>
    <w:rsid w:val="7FE6FCA6"/>
    <w:rsid w:val="7FE7045C"/>
    <w:rsid w:val="7FE73B49"/>
    <w:rsid w:val="7FEB7A25"/>
    <w:rsid w:val="7FEBBF15"/>
    <w:rsid w:val="7FED7971"/>
    <w:rsid w:val="7FEDAEEC"/>
    <w:rsid w:val="7FEEE87B"/>
    <w:rsid w:val="7FEF3769"/>
    <w:rsid w:val="7FEF73EE"/>
    <w:rsid w:val="7FEF80AA"/>
    <w:rsid w:val="7FEFEB4E"/>
    <w:rsid w:val="7FF33137"/>
    <w:rsid w:val="7FF3639E"/>
    <w:rsid w:val="7FF60478"/>
    <w:rsid w:val="7FF6D546"/>
    <w:rsid w:val="7FF737F3"/>
    <w:rsid w:val="7FF754CD"/>
    <w:rsid w:val="7FF8620C"/>
    <w:rsid w:val="7FF9144A"/>
    <w:rsid w:val="7FFA8936"/>
    <w:rsid w:val="7FFB3394"/>
    <w:rsid w:val="7FFB655F"/>
    <w:rsid w:val="7FFB7057"/>
    <w:rsid w:val="7FFBAAF7"/>
    <w:rsid w:val="7FFBEB90"/>
    <w:rsid w:val="7FFC688D"/>
    <w:rsid w:val="7FFD8311"/>
    <w:rsid w:val="7FFE0504"/>
    <w:rsid w:val="7FFE133E"/>
    <w:rsid w:val="7FFEBB52"/>
    <w:rsid w:val="7FFEDCD9"/>
    <w:rsid w:val="7FFF0982"/>
    <w:rsid w:val="7FFF498B"/>
    <w:rsid w:val="7FFF7F2D"/>
    <w:rsid w:val="7FFF8B74"/>
    <w:rsid w:val="7FFFE212"/>
    <w:rsid w:val="825F6E9B"/>
    <w:rsid w:val="837F0220"/>
    <w:rsid w:val="875D6D67"/>
    <w:rsid w:val="87DB37D5"/>
    <w:rsid w:val="87F5A77F"/>
    <w:rsid w:val="8DD7E0B5"/>
    <w:rsid w:val="8FDF69A0"/>
    <w:rsid w:val="8FFFBB06"/>
    <w:rsid w:val="90DF3800"/>
    <w:rsid w:val="932FB7B4"/>
    <w:rsid w:val="9396463A"/>
    <w:rsid w:val="93CEB378"/>
    <w:rsid w:val="93CFD858"/>
    <w:rsid w:val="956F7D9C"/>
    <w:rsid w:val="95BF3129"/>
    <w:rsid w:val="95FDCAE1"/>
    <w:rsid w:val="96DFC5A0"/>
    <w:rsid w:val="97B44EDD"/>
    <w:rsid w:val="97BF386D"/>
    <w:rsid w:val="97FB28AD"/>
    <w:rsid w:val="987E2CED"/>
    <w:rsid w:val="99BFA760"/>
    <w:rsid w:val="9A8F13B4"/>
    <w:rsid w:val="9B59C487"/>
    <w:rsid w:val="9B6CBB12"/>
    <w:rsid w:val="9C8F2C0B"/>
    <w:rsid w:val="9CF7D16A"/>
    <w:rsid w:val="9DB995A5"/>
    <w:rsid w:val="9DBCEB20"/>
    <w:rsid w:val="9DBD5E47"/>
    <w:rsid w:val="9DBD7DB3"/>
    <w:rsid w:val="9E67FDA6"/>
    <w:rsid w:val="9E6C9E8E"/>
    <w:rsid w:val="9EDF9423"/>
    <w:rsid w:val="9F2BA372"/>
    <w:rsid w:val="9F5E6B68"/>
    <w:rsid w:val="9F5EC2E2"/>
    <w:rsid w:val="9F65C68E"/>
    <w:rsid w:val="9F8FF826"/>
    <w:rsid w:val="9FFDE6DC"/>
    <w:rsid w:val="9FFF5E47"/>
    <w:rsid w:val="A1757F35"/>
    <w:rsid w:val="A2FAB819"/>
    <w:rsid w:val="A4C67742"/>
    <w:rsid w:val="A57F3BE2"/>
    <w:rsid w:val="A59A840D"/>
    <w:rsid w:val="A5C642EC"/>
    <w:rsid w:val="A5FE6F8D"/>
    <w:rsid w:val="A5FF9DC7"/>
    <w:rsid w:val="A6BFC252"/>
    <w:rsid w:val="A6D87EE0"/>
    <w:rsid w:val="A7A61787"/>
    <w:rsid w:val="AA7F9B44"/>
    <w:rsid w:val="AAF37537"/>
    <w:rsid w:val="AAFF8BB3"/>
    <w:rsid w:val="AB56724B"/>
    <w:rsid w:val="AB5771CE"/>
    <w:rsid w:val="ABD359AA"/>
    <w:rsid w:val="AD1E1324"/>
    <w:rsid w:val="ADD799B2"/>
    <w:rsid w:val="ADF7889B"/>
    <w:rsid w:val="ADFF702D"/>
    <w:rsid w:val="AE6FCD42"/>
    <w:rsid w:val="AE8C8B9F"/>
    <w:rsid w:val="AEF3F492"/>
    <w:rsid w:val="AEFF392C"/>
    <w:rsid w:val="AF3DD0E9"/>
    <w:rsid w:val="AF4FB670"/>
    <w:rsid w:val="AF748C99"/>
    <w:rsid w:val="AFBF5696"/>
    <w:rsid w:val="AFBF7E40"/>
    <w:rsid w:val="AFDF1E9C"/>
    <w:rsid w:val="AFEE70B5"/>
    <w:rsid w:val="AFF9A65B"/>
    <w:rsid w:val="AFFB56D4"/>
    <w:rsid w:val="AFFE3774"/>
    <w:rsid w:val="AFFE9FAB"/>
    <w:rsid w:val="AFFF01E2"/>
    <w:rsid w:val="AFFF83D7"/>
    <w:rsid w:val="AFFFA938"/>
    <w:rsid w:val="B1FFCBEB"/>
    <w:rsid w:val="B3B70B02"/>
    <w:rsid w:val="B3D92867"/>
    <w:rsid w:val="B3F76AA5"/>
    <w:rsid w:val="B3FECE99"/>
    <w:rsid w:val="B4FD1E23"/>
    <w:rsid w:val="B5771492"/>
    <w:rsid w:val="B596B388"/>
    <w:rsid w:val="B59ADB06"/>
    <w:rsid w:val="B5B6E3F0"/>
    <w:rsid w:val="B5DBA9E7"/>
    <w:rsid w:val="B5FB5C25"/>
    <w:rsid w:val="B5FF6DFB"/>
    <w:rsid w:val="B63F9A3B"/>
    <w:rsid w:val="B6BDB462"/>
    <w:rsid w:val="B6FD26E9"/>
    <w:rsid w:val="B6FF70F4"/>
    <w:rsid w:val="B74980B8"/>
    <w:rsid w:val="B7A36C91"/>
    <w:rsid w:val="B7AC7828"/>
    <w:rsid w:val="B7BC23F1"/>
    <w:rsid w:val="B7DB845F"/>
    <w:rsid w:val="B7E5E68B"/>
    <w:rsid w:val="B7E6C692"/>
    <w:rsid w:val="B7EB5497"/>
    <w:rsid w:val="B7EFCE47"/>
    <w:rsid w:val="B7F77798"/>
    <w:rsid w:val="B7FC0B82"/>
    <w:rsid w:val="B8EFEF6C"/>
    <w:rsid w:val="B96E68CE"/>
    <w:rsid w:val="B9FEA41E"/>
    <w:rsid w:val="BA5FEF35"/>
    <w:rsid w:val="BA79EA2B"/>
    <w:rsid w:val="BAD3ECD1"/>
    <w:rsid w:val="BAD93B62"/>
    <w:rsid w:val="BAFCCAD2"/>
    <w:rsid w:val="BAFF4EAA"/>
    <w:rsid w:val="BB3F4C69"/>
    <w:rsid w:val="BBB2F792"/>
    <w:rsid w:val="BBBF87B5"/>
    <w:rsid w:val="BBCF9965"/>
    <w:rsid w:val="BBDDCBC7"/>
    <w:rsid w:val="BBE40C9B"/>
    <w:rsid w:val="BBE7E6E4"/>
    <w:rsid w:val="BBEFC20C"/>
    <w:rsid w:val="BBFE285B"/>
    <w:rsid w:val="BBFEF6E3"/>
    <w:rsid w:val="BBFF5367"/>
    <w:rsid w:val="BBFF5CFC"/>
    <w:rsid w:val="BC17E6F8"/>
    <w:rsid w:val="BCB59307"/>
    <w:rsid w:val="BCBFCC29"/>
    <w:rsid w:val="BCFD63C7"/>
    <w:rsid w:val="BCFFBE7B"/>
    <w:rsid w:val="BD2C9A95"/>
    <w:rsid w:val="BD69537A"/>
    <w:rsid w:val="BDE71E04"/>
    <w:rsid w:val="BDEF7775"/>
    <w:rsid w:val="BDEFE0C5"/>
    <w:rsid w:val="BDF71D6F"/>
    <w:rsid w:val="BDFD22B5"/>
    <w:rsid w:val="BDFD4DE8"/>
    <w:rsid w:val="BDFFF66D"/>
    <w:rsid w:val="BE96F448"/>
    <w:rsid w:val="BE975493"/>
    <w:rsid w:val="BEADB041"/>
    <w:rsid w:val="BECFFFD8"/>
    <w:rsid w:val="BEDF4B12"/>
    <w:rsid w:val="BEEF1B8C"/>
    <w:rsid w:val="BEFF51F9"/>
    <w:rsid w:val="BEFF5D3A"/>
    <w:rsid w:val="BF3F3DDD"/>
    <w:rsid w:val="BF55AE91"/>
    <w:rsid w:val="BF579AC0"/>
    <w:rsid w:val="BF5BE84B"/>
    <w:rsid w:val="BF5E902A"/>
    <w:rsid w:val="BF5F3B72"/>
    <w:rsid w:val="BF5FD277"/>
    <w:rsid w:val="BF6DD3FD"/>
    <w:rsid w:val="BF7BECF8"/>
    <w:rsid w:val="BF7EA686"/>
    <w:rsid w:val="BFADDB13"/>
    <w:rsid w:val="BFB700F8"/>
    <w:rsid w:val="BFB943B3"/>
    <w:rsid w:val="BFBE85CE"/>
    <w:rsid w:val="BFBF381B"/>
    <w:rsid w:val="BFBFE02C"/>
    <w:rsid w:val="BFBFFE98"/>
    <w:rsid w:val="BFCD7B40"/>
    <w:rsid w:val="BFCEB9C2"/>
    <w:rsid w:val="BFCF0592"/>
    <w:rsid w:val="BFD519E7"/>
    <w:rsid w:val="BFDF6A92"/>
    <w:rsid w:val="BFDFA102"/>
    <w:rsid w:val="BFE91314"/>
    <w:rsid w:val="BFEC420A"/>
    <w:rsid w:val="BFF22A14"/>
    <w:rsid w:val="BFF5682A"/>
    <w:rsid w:val="BFF77B82"/>
    <w:rsid w:val="BFF994B8"/>
    <w:rsid w:val="BFFB8A49"/>
    <w:rsid w:val="BFFDC84B"/>
    <w:rsid w:val="BFFEE779"/>
    <w:rsid w:val="BFFF58A0"/>
    <w:rsid w:val="BFFF68ED"/>
    <w:rsid w:val="C2FDA9B0"/>
    <w:rsid w:val="C2FED5DD"/>
    <w:rsid w:val="C4E5A6D0"/>
    <w:rsid w:val="C5B16E88"/>
    <w:rsid w:val="C636C3B5"/>
    <w:rsid w:val="C77BF531"/>
    <w:rsid w:val="C77F151F"/>
    <w:rsid w:val="C9F7A005"/>
    <w:rsid w:val="CAEF6624"/>
    <w:rsid w:val="CB3F9C87"/>
    <w:rsid w:val="CB7B02E4"/>
    <w:rsid w:val="CB95D9CA"/>
    <w:rsid w:val="CCE57821"/>
    <w:rsid w:val="CD7DA3F6"/>
    <w:rsid w:val="CDBF259D"/>
    <w:rsid w:val="CDDEF21B"/>
    <w:rsid w:val="CDFFBAB5"/>
    <w:rsid w:val="CE5D7481"/>
    <w:rsid w:val="CE6F0016"/>
    <w:rsid w:val="CE6FDDC0"/>
    <w:rsid w:val="CEBF163C"/>
    <w:rsid w:val="CEBF7A0C"/>
    <w:rsid w:val="CECFB2F0"/>
    <w:rsid w:val="CEED8271"/>
    <w:rsid w:val="CEF7616F"/>
    <w:rsid w:val="CF59A197"/>
    <w:rsid w:val="CF7E9D9C"/>
    <w:rsid w:val="CF7F6E71"/>
    <w:rsid w:val="CFABCAAA"/>
    <w:rsid w:val="CFF3139C"/>
    <w:rsid w:val="CFF6C97B"/>
    <w:rsid w:val="CFFFADA6"/>
    <w:rsid w:val="D1BFCA31"/>
    <w:rsid w:val="D1FFEC2A"/>
    <w:rsid w:val="D277324A"/>
    <w:rsid w:val="D2F3E84E"/>
    <w:rsid w:val="D35D6712"/>
    <w:rsid w:val="D3BF5A70"/>
    <w:rsid w:val="D3FF7EEC"/>
    <w:rsid w:val="D4DF6483"/>
    <w:rsid w:val="D4FD52F9"/>
    <w:rsid w:val="D57E12D9"/>
    <w:rsid w:val="D5B71862"/>
    <w:rsid w:val="D5BF1950"/>
    <w:rsid w:val="D5BF9B99"/>
    <w:rsid w:val="D5EFB1BB"/>
    <w:rsid w:val="D5FFA788"/>
    <w:rsid w:val="D62FFB71"/>
    <w:rsid w:val="D677104A"/>
    <w:rsid w:val="D6AB408F"/>
    <w:rsid w:val="D6AF2CD6"/>
    <w:rsid w:val="D6BE0194"/>
    <w:rsid w:val="D73F3014"/>
    <w:rsid w:val="D75A818F"/>
    <w:rsid w:val="D76F8D96"/>
    <w:rsid w:val="D776533D"/>
    <w:rsid w:val="D7BF749C"/>
    <w:rsid w:val="D7DFC27C"/>
    <w:rsid w:val="D7F5C9A5"/>
    <w:rsid w:val="D7FDCCFC"/>
    <w:rsid w:val="D9DF6489"/>
    <w:rsid w:val="DAAD0C5C"/>
    <w:rsid w:val="DADF3D88"/>
    <w:rsid w:val="DAEE6D30"/>
    <w:rsid w:val="DB5DF571"/>
    <w:rsid w:val="DB6A6AA2"/>
    <w:rsid w:val="DB6F5EEA"/>
    <w:rsid w:val="DBB74FB7"/>
    <w:rsid w:val="DBBF71EE"/>
    <w:rsid w:val="DBD5E2E3"/>
    <w:rsid w:val="DBDA862C"/>
    <w:rsid w:val="DBDDB0F1"/>
    <w:rsid w:val="DBF54BBA"/>
    <w:rsid w:val="DBF7276E"/>
    <w:rsid w:val="DBF7EA90"/>
    <w:rsid w:val="DBFD9292"/>
    <w:rsid w:val="DCFFDCD3"/>
    <w:rsid w:val="DD7FC3B9"/>
    <w:rsid w:val="DDA3D4B4"/>
    <w:rsid w:val="DDD547FA"/>
    <w:rsid w:val="DDDF6043"/>
    <w:rsid w:val="DDE6326A"/>
    <w:rsid w:val="DDED4773"/>
    <w:rsid w:val="DDFBAC7F"/>
    <w:rsid w:val="DE3DFDAA"/>
    <w:rsid w:val="DE9E5D9F"/>
    <w:rsid w:val="DEAFA34C"/>
    <w:rsid w:val="DEB80C42"/>
    <w:rsid w:val="DEDF774D"/>
    <w:rsid w:val="DEE39A94"/>
    <w:rsid w:val="DEFEAEFE"/>
    <w:rsid w:val="DEFF37F4"/>
    <w:rsid w:val="DF277988"/>
    <w:rsid w:val="DF3D3F41"/>
    <w:rsid w:val="DF4A135B"/>
    <w:rsid w:val="DF50B734"/>
    <w:rsid w:val="DF8BDB17"/>
    <w:rsid w:val="DF9AD758"/>
    <w:rsid w:val="DF9EE903"/>
    <w:rsid w:val="DFBB77EA"/>
    <w:rsid w:val="DFBDF4FC"/>
    <w:rsid w:val="DFDCD173"/>
    <w:rsid w:val="DFDF0351"/>
    <w:rsid w:val="DFDF88F6"/>
    <w:rsid w:val="DFDFF7AE"/>
    <w:rsid w:val="DFE95576"/>
    <w:rsid w:val="DFEC4C3E"/>
    <w:rsid w:val="DFEF6643"/>
    <w:rsid w:val="DFF06554"/>
    <w:rsid w:val="DFF50F3D"/>
    <w:rsid w:val="DFF5A4D2"/>
    <w:rsid w:val="DFF77122"/>
    <w:rsid w:val="DFFB5CA3"/>
    <w:rsid w:val="DFFE31D8"/>
    <w:rsid w:val="DFFE93DA"/>
    <w:rsid w:val="DFFF590D"/>
    <w:rsid w:val="DFFF5E7B"/>
    <w:rsid w:val="DFFF82DA"/>
    <w:rsid w:val="DFFF8E08"/>
    <w:rsid w:val="E1F60572"/>
    <w:rsid w:val="E33E71B4"/>
    <w:rsid w:val="E39D97CA"/>
    <w:rsid w:val="E39F8A7C"/>
    <w:rsid w:val="E3DB5896"/>
    <w:rsid w:val="E3EF3EF9"/>
    <w:rsid w:val="E3F397A4"/>
    <w:rsid w:val="E3FF4C70"/>
    <w:rsid w:val="E47F3B04"/>
    <w:rsid w:val="E5E369A7"/>
    <w:rsid w:val="E5EFEA2F"/>
    <w:rsid w:val="E5F3623E"/>
    <w:rsid w:val="E5FFD29F"/>
    <w:rsid w:val="E67FC90A"/>
    <w:rsid w:val="E6C76FC8"/>
    <w:rsid w:val="E6DC7C55"/>
    <w:rsid w:val="E6E79805"/>
    <w:rsid w:val="E6F8BB36"/>
    <w:rsid w:val="E75A541F"/>
    <w:rsid w:val="E76D7D8D"/>
    <w:rsid w:val="E76FEA52"/>
    <w:rsid w:val="E77FCB7D"/>
    <w:rsid w:val="E7BB8F95"/>
    <w:rsid w:val="E7BF306B"/>
    <w:rsid w:val="E7CBD0B2"/>
    <w:rsid w:val="E7DF643D"/>
    <w:rsid w:val="E7F8BC45"/>
    <w:rsid w:val="E7FB0882"/>
    <w:rsid w:val="E7FC3D2A"/>
    <w:rsid w:val="E7FF0C39"/>
    <w:rsid w:val="E7FF3135"/>
    <w:rsid w:val="E835A5DF"/>
    <w:rsid w:val="E9D3AB24"/>
    <w:rsid w:val="EA3CF829"/>
    <w:rsid w:val="EAC46273"/>
    <w:rsid w:val="EAD75C45"/>
    <w:rsid w:val="EAEF4910"/>
    <w:rsid w:val="EAF4BF0F"/>
    <w:rsid w:val="EAFFEE21"/>
    <w:rsid w:val="EB3F0B9E"/>
    <w:rsid w:val="EB6FA49F"/>
    <w:rsid w:val="EB7AD637"/>
    <w:rsid w:val="EBB7535C"/>
    <w:rsid w:val="EBBBD158"/>
    <w:rsid w:val="EBDC3CE5"/>
    <w:rsid w:val="EBDFECFB"/>
    <w:rsid w:val="EBF3CB01"/>
    <w:rsid w:val="EBF7938C"/>
    <w:rsid w:val="EBF92191"/>
    <w:rsid w:val="EBFC7B91"/>
    <w:rsid w:val="EBFD50C5"/>
    <w:rsid w:val="EBFDC251"/>
    <w:rsid w:val="EBFFFC53"/>
    <w:rsid w:val="EC19A8B0"/>
    <w:rsid w:val="ECBFA07E"/>
    <w:rsid w:val="ECDF4B0B"/>
    <w:rsid w:val="ECF71DB7"/>
    <w:rsid w:val="ECF77B85"/>
    <w:rsid w:val="ED375001"/>
    <w:rsid w:val="ED56D21B"/>
    <w:rsid w:val="ED714F8A"/>
    <w:rsid w:val="ED7FA5A4"/>
    <w:rsid w:val="ED9851C1"/>
    <w:rsid w:val="ED9D6E6D"/>
    <w:rsid w:val="EDBD009E"/>
    <w:rsid w:val="EDBDE193"/>
    <w:rsid w:val="EDDB5E9E"/>
    <w:rsid w:val="EDF8897E"/>
    <w:rsid w:val="EDFA538B"/>
    <w:rsid w:val="EDFB57F2"/>
    <w:rsid w:val="EDFF8BD6"/>
    <w:rsid w:val="EE1FF5B3"/>
    <w:rsid w:val="EE4F5A5A"/>
    <w:rsid w:val="EE5431A3"/>
    <w:rsid w:val="EE57F037"/>
    <w:rsid w:val="EE5BD92F"/>
    <w:rsid w:val="EE7255EB"/>
    <w:rsid w:val="EE7F2420"/>
    <w:rsid w:val="EEB71B05"/>
    <w:rsid w:val="EEBB72A5"/>
    <w:rsid w:val="EEBD6800"/>
    <w:rsid w:val="EED65D1B"/>
    <w:rsid w:val="EEF7726B"/>
    <w:rsid w:val="EEFDD2AB"/>
    <w:rsid w:val="EEFE1C6B"/>
    <w:rsid w:val="EEFF9317"/>
    <w:rsid w:val="EF1F1425"/>
    <w:rsid w:val="EF1FC490"/>
    <w:rsid w:val="EF29E29C"/>
    <w:rsid w:val="EF396E78"/>
    <w:rsid w:val="EF3BBD8E"/>
    <w:rsid w:val="EF46DA37"/>
    <w:rsid w:val="EF579B9A"/>
    <w:rsid w:val="EF6A2ABD"/>
    <w:rsid w:val="EF6F428E"/>
    <w:rsid w:val="EF7542D2"/>
    <w:rsid w:val="EF75B8AB"/>
    <w:rsid w:val="EF7E7DD0"/>
    <w:rsid w:val="EF7F2AF6"/>
    <w:rsid w:val="EF7F5F3C"/>
    <w:rsid w:val="EF7FD420"/>
    <w:rsid w:val="EF8F55D6"/>
    <w:rsid w:val="EF99BC65"/>
    <w:rsid w:val="EF9F8D11"/>
    <w:rsid w:val="EFA91E65"/>
    <w:rsid w:val="EFB2AC29"/>
    <w:rsid w:val="EFBA33B9"/>
    <w:rsid w:val="EFBCEEE3"/>
    <w:rsid w:val="EFBF5161"/>
    <w:rsid w:val="EFBF7E3F"/>
    <w:rsid w:val="EFBFE281"/>
    <w:rsid w:val="EFDF267D"/>
    <w:rsid w:val="EFDF38CA"/>
    <w:rsid w:val="EFEB0AE3"/>
    <w:rsid w:val="EFED9C37"/>
    <w:rsid w:val="EFEF5660"/>
    <w:rsid w:val="EFEFDAD5"/>
    <w:rsid w:val="EFF4712E"/>
    <w:rsid w:val="EFF7E2EA"/>
    <w:rsid w:val="EFF9574A"/>
    <w:rsid w:val="EFF96277"/>
    <w:rsid w:val="EFF96457"/>
    <w:rsid w:val="EFFAA810"/>
    <w:rsid w:val="EFFD7C6C"/>
    <w:rsid w:val="EFFE7B99"/>
    <w:rsid w:val="EFFF8324"/>
    <w:rsid w:val="EFFFD6E6"/>
    <w:rsid w:val="EFFFE954"/>
    <w:rsid w:val="F0D6B021"/>
    <w:rsid w:val="F0FFA7F1"/>
    <w:rsid w:val="F1888A93"/>
    <w:rsid w:val="F19F2D73"/>
    <w:rsid w:val="F1F6E127"/>
    <w:rsid w:val="F23F779F"/>
    <w:rsid w:val="F317AA59"/>
    <w:rsid w:val="F35F3B4F"/>
    <w:rsid w:val="F3AC4C2F"/>
    <w:rsid w:val="F3B21A50"/>
    <w:rsid w:val="F3CBCD52"/>
    <w:rsid w:val="F3D19FC2"/>
    <w:rsid w:val="F3D7BEA9"/>
    <w:rsid w:val="F3F619F4"/>
    <w:rsid w:val="F3F72FF5"/>
    <w:rsid w:val="F3FC345F"/>
    <w:rsid w:val="F3FE0E0E"/>
    <w:rsid w:val="F3FEF81E"/>
    <w:rsid w:val="F3FF0ADF"/>
    <w:rsid w:val="F3FF222C"/>
    <w:rsid w:val="F3FF3FAD"/>
    <w:rsid w:val="F4FE9ED1"/>
    <w:rsid w:val="F5378E89"/>
    <w:rsid w:val="F53862ED"/>
    <w:rsid w:val="F55E6453"/>
    <w:rsid w:val="F55F2B25"/>
    <w:rsid w:val="F57F22EC"/>
    <w:rsid w:val="F5B5CF3C"/>
    <w:rsid w:val="F5BF9CDA"/>
    <w:rsid w:val="F5D72238"/>
    <w:rsid w:val="F5DE1212"/>
    <w:rsid w:val="F5E7E93C"/>
    <w:rsid w:val="F5FBFD92"/>
    <w:rsid w:val="F5FC90E1"/>
    <w:rsid w:val="F5FF1F43"/>
    <w:rsid w:val="F5FFCC96"/>
    <w:rsid w:val="F612EB9E"/>
    <w:rsid w:val="F615A5A7"/>
    <w:rsid w:val="F63E0C80"/>
    <w:rsid w:val="F657613C"/>
    <w:rsid w:val="F6BFE174"/>
    <w:rsid w:val="F6BFEF17"/>
    <w:rsid w:val="F6CD96D6"/>
    <w:rsid w:val="F6DF9DA9"/>
    <w:rsid w:val="F717F855"/>
    <w:rsid w:val="F71FBADC"/>
    <w:rsid w:val="F73E5497"/>
    <w:rsid w:val="F750E4D3"/>
    <w:rsid w:val="F75AF07E"/>
    <w:rsid w:val="F75D1759"/>
    <w:rsid w:val="F7670B30"/>
    <w:rsid w:val="F76B6CD8"/>
    <w:rsid w:val="F7732415"/>
    <w:rsid w:val="F7776E0F"/>
    <w:rsid w:val="F79E378F"/>
    <w:rsid w:val="F7AE0639"/>
    <w:rsid w:val="F7AF69FB"/>
    <w:rsid w:val="F7AFC84F"/>
    <w:rsid w:val="F7B7FE2F"/>
    <w:rsid w:val="F7BF4D5B"/>
    <w:rsid w:val="F7BF6597"/>
    <w:rsid w:val="F7C73FF1"/>
    <w:rsid w:val="F7D3702E"/>
    <w:rsid w:val="F7D5A3A6"/>
    <w:rsid w:val="F7DF0DE6"/>
    <w:rsid w:val="F7ED357C"/>
    <w:rsid w:val="F7EF41AD"/>
    <w:rsid w:val="F7EF9563"/>
    <w:rsid w:val="F7F188DF"/>
    <w:rsid w:val="F7F4E6D5"/>
    <w:rsid w:val="F7F71579"/>
    <w:rsid w:val="F7F7F55A"/>
    <w:rsid w:val="F7FA7DE3"/>
    <w:rsid w:val="F7FB4B22"/>
    <w:rsid w:val="F7FBAEBB"/>
    <w:rsid w:val="F7FCADC1"/>
    <w:rsid w:val="F7FE478E"/>
    <w:rsid w:val="F7FE73AB"/>
    <w:rsid w:val="F7FED078"/>
    <w:rsid w:val="F7FF0DD7"/>
    <w:rsid w:val="F7FF24C8"/>
    <w:rsid w:val="F7FF91E1"/>
    <w:rsid w:val="F7FF98C4"/>
    <w:rsid w:val="F83285A0"/>
    <w:rsid w:val="F8EB168D"/>
    <w:rsid w:val="F8F3B1EB"/>
    <w:rsid w:val="F93B5B6E"/>
    <w:rsid w:val="F96FF0A9"/>
    <w:rsid w:val="F9CBD387"/>
    <w:rsid w:val="F9DB2AFB"/>
    <w:rsid w:val="F9FCE9F5"/>
    <w:rsid w:val="FAADAE3A"/>
    <w:rsid w:val="FABF715A"/>
    <w:rsid w:val="FACFE76D"/>
    <w:rsid w:val="FADE22B6"/>
    <w:rsid w:val="FAEE22D4"/>
    <w:rsid w:val="FAF766F9"/>
    <w:rsid w:val="FAF7E1A8"/>
    <w:rsid w:val="FAFAAFA1"/>
    <w:rsid w:val="FAFD8EDB"/>
    <w:rsid w:val="FAFFA488"/>
    <w:rsid w:val="FB39D355"/>
    <w:rsid w:val="FB51D3AF"/>
    <w:rsid w:val="FB779355"/>
    <w:rsid w:val="FB7D3FD8"/>
    <w:rsid w:val="FB7F1AB1"/>
    <w:rsid w:val="FB7F2900"/>
    <w:rsid w:val="FB7F38A0"/>
    <w:rsid w:val="FB9E63F7"/>
    <w:rsid w:val="FB9EBFC8"/>
    <w:rsid w:val="FBA7EBC9"/>
    <w:rsid w:val="FBAD32A1"/>
    <w:rsid w:val="FBB70649"/>
    <w:rsid w:val="FBBD602A"/>
    <w:rsid w:val="FBBEE588"/>
    <w:rsid w:val="FBBFF92F"/>
    <w:rsid w:val="FBD07F8F"/>
    <w:rsid w:val="FBD693B6"/>
    <w:rsid w:val="FBD78F50"/>
    <w:rsid w:val="FBEE106F"/>
    <w:rsid w:val="FBEF6523"/>
    <w:rsid w:val="FBF279A3"/>
    <w:rsid w:val="FBF6A0B9"/>
    <w:rsid w:val="FBF9B90B"/>
    <w:rsid w:val="FBFB7854"/>
    <w:rsid w:val="FBFC3597"/>
    <w:rsid w:val="FBFF0AE2"/>
    <w:rsid w:val="FBFF730F"/>
    <w:rsid w:val="FBFF8199"/>
    <w:rsid w:val="FBFFA354"/>
    <w:rsid w:val="FBFFB574"/>
    <w:rsid w:val="FBFFE93D"/>
    <w:rsid w:val="FC667631"/>
    <w:rsid w:val="FC7B904A"/>
    <w:rsid w:val="FC7EB506"/>
    <w:rsid w:val="FCCBB95D"/>
    <w:rsid w:val="FCD8E36C"/>
    <w:rsid w:val="FCEB1696"/>
    <w:rsid w:val="FCEF7F78"/>
    <w:rsid w:val="FCF79B8F"/>
    <w:rsid w:val="FCFCA11E"/>
    <w:rsid w:val="FD1F7ADA"/>
    <w:rsid w:val="FD2BFCDB"/>
    <w:rsid w:val="FD3E5406"/>
    <w:rsid w:val="FD3F3C63"/>
    <w:rsid w:val="FD57C598"/>
    <w:rsid w:val="FD5FC805"/>
    <w:rsid w:val="FD76AC28"/>
    <w:rsid w:val="FD7743D3"/>
    <w:rsid w:val="FD7E58D0"/>
    <w:rsid w:val="FD7FD0A3"/>
    <w:rsid w:val="FDAFC99B"/>
    <w:rsid w:val="FDBBE275"/>
    <w:rsid w:val="FDBCC48C"/>
    <w:rsid w:val="FDDFA301"/>
    <w:rsid w:val="FDDFA438"/>
    <w:rsid w:val="FDE784B1"/>
    <w:rsid w:val="FDF896E0"/>
    <w:rsid w:val="FDFBFD50"/>
    <w:rsid w:val="FDFF9D48"/>
    <w:rsid w:val="FDFFF901"/>
    <w:rsid w:val="FE34F2F0"/>
    <w:rsid w:val="FE378E07"/>
    <w:rsid w:val="FE57849A"/>
    <w:rsid w:val="FE5F1CA6"/>
    <w:rsid w:val="FE6FB9DF"/>
    <w:rsid w:val="FE730668"/>
    <w:rsid w:val="FE773402"/>
    <w:rsid w:val="FE7B9485"/>
    <w:rsid w:val="FE8BB402"/>
    <w:rsid w:val="FEA90617"/>
    <w:rsid w:val="FEABCE5A"/>
    <w:rsid w:val="FEAE1AF1"/>
    <w:rsid w:val="FEAF4259"/>
    <w:rsid w:val="FEB5C890"/>
    <w:rsid w:val="FEBD64AC"/>
    <w:rsid w:val="FEBFD0CE"/>
    <w:rsid w:val="FEBFF200"/>
    <w:rsid w:val="FED57AE1"/>
    <w:rsid w:val="FED58900"/>
    <w:rsid w:val="FEDCB13C"/>
    <w:rsid w:val="FEDEA2FA"/>
    <w:rsid w:val="FEDF565D"/>
    <w:rsid w:val="FEE72942"/>
    <w:rsid w:val="FEE7D6DB"/>
    <w:rsid w:val="FEF2F4E9"/>
    <w:rsid w:val="FEF371AF"/>
    <w:rsid w:val="FEF3F464"/>
    <w:rsid w:val="FEF3F493"/>
    <w:rsid w:val="FEF76A8D"/>
    <w:rsid w:val="FEF7CA9B"/>
    <w:rsid w:val="FEF7F749"/>
    <w:rsid w:val="FEFB1A58"/>
    <w:rsid w:val="FEFB58C0"/>
    <w:rsid w:val="FEFBB2B2"/>
    <w:rsid w:val="FEFD2E49"/>
    <w:rsid w:val="FEFD3D8C"/>
    <w:rsid w:val="FEFDB1DA"/>
    <w:rsid w:val="FEFE8A65"/>
    <w:rsid w:val="FEFF9761"/>
    <w:rsid w:val="FEFFE7A0"/>
    <w:rsid w:val="FF21C964"/>
    <w:rsid w:val="FF2F2F66"/>
    <w:rsid w:val="FF2FD6D4"/>
    <w:rsid w:val="FF34F996"/>
    <w:rsid w:val="FF366F8E"/>
    <w:rsid w:val="FF3B0602"/>
    <w:rsid w:val="FF3C53C2"/>
    <w:rsid w:val="FF3ED762"/>
    <w:rsid w:val="FF3F4D16"/>
    <w:rsid w:val="FF5D09BF"/>
    <w:rsid w:val="FF5F9ABB"/>
    <w:rsid w:val="FF5FB526"/>
    <w:rsid w:val="FF6BA745"/>
    <w:rsid w:val="FF6DB29F"/>
    <w:rsid w:val="FF6E7EBA"/>
    <w:rsid w:val="FF6F9E92"/>
    <w:rsid w:val="FF779799"/>
    <w:rsid w:val="FF77AC72"/>
    <w:rsid w:val="FF77F768"/>
    <w:rsid w:val="FF7B8A2D"/>
    <w:rsid w:val="FF7F0A3C"/>
    <w:rsid w:val="FF7F7281"/>
    <w:rsid w:val="FF7FA0B8"/>
    <w:rsid w:val="FF835508"/>
    <w:rsid w:val="FF8F32BF"/>
    <w:rsid w:val="FF967747"/>
    <w:rsid w:val="FF9D6578"/>
    <w:rsid w:val="FF9DB6C7"/>
    <w:rsid w:val="FF9F91ED"/>
    <w:rsid w:val="FFA93C7E"/>
    <w:rsid w:val="FFAF1EA1"/>
    <w:rsid w:val="FFAF7C84"/>
    <w:rsid w:val="FFB1A920"/>
    <w:rsid w:val="FFB2DD2E"/>
    <w:rsid w:val="FFB759A9"/>
    <w:rsid w:val="FFBB16B8"/>
    <w:rsid w:val="FFBBA4F8"/>
    <w:rsid w:val="FFBD0B7B"/>
    <w:rsid w:val="FFBE1DF0"/>
    <w:rsid w:val="FFBEDBFC"/>
    <w:rsid w:val="FFBF0AEF"/>
    <w:rsid w:val="FFBF4477"/>
    <w:rsid w:val="FFD6C55B"/>
    <w:rsid w:val="FFD741B1"/>
    <w:rsid w:val="FFD7D2C5"/>
    <w:rsid w:val="FFD9D491"/>
    <w:rsid w:val="FFDB9ACC"/>
    <w:rsid w:val="FFDCF638"/>
    <w:rsid w:val="FFDEC058"/>
    <w:rsid w:val="FFDF477D"/>
    <w:rsid w:val="FFDF70C0"/>
    <w:rsid w:val="FFDF99DD"/>
    <w:rsid w:val="FFDFF193"/>
    <w:rsid w:val="FFE31043"/>
    <w:rsid w:val="FFE75193"/>
    <w:rsid w:val="FFE781F8"/>
    <w:rsid w:val="FFE78F72"/>
    <w:rsid w:val="FFEAFAD9"/>
    <w:rsid w:val="FFEBCE00"/>
    <w:rsid w:val="FFEDCA49"/>
    <w:rsid w:val="FFEDF5D7"/>
    <w:rsid w:val="FFEDF9EA"/>
    <w:rsid w:val="FFEE0113"/>
    <w:rsid w:val="FFEE0539"/>
    <w:rsid w:val="FFEE4E9E"/>
    <w:rsid w:val="FFEF58D0"/>
    <w:rsid w:val="FFEFD2EC"/>
    <w:rsid w:val="FFF35EB1"/>
    <w:rsid w:val="FFF5B345"/>
    <w:rsid w:val="FFF72352"/>
    <w:rsid w:val="FFF73B6A"/>
    <w:rsid w:val="FFF745F3"/>
    <w:rsid w:val="FFF745F8"/>
    <w:rsid w:val="FFF780B0"/>
    <w:rsid w:val="FFF7C48B"/>
    <w:rsid w:val="FFF7ECBE"/>
    <w:rsid w:val="FFF87837"/>
    <w:rsid w:val="FFF9ECA0"/>
    <w:rsid w:val="FFFA2AF0"/>
    <w:rsid w:val="FFFA73F1"/>
    <w:rsid w:val="FFFAA34C"/>
    <w:rsid w:val="FFFB464B"/>
    <w:rsid w:val="FFFB9A3B"/>
    <w:rsid w:val="FFFBB049"/>
    <w:rsid w:val="FFFBB3FE"/>
    <w:rsid w:val="FFFBB802"/>
    <w:rsid w:val="FFFBD3DA"/>
    <w:rsid w:val="FFFD2DC4"/>
    <w:rsid w:val="FFFD9765"/>
    <w:rsid w:val="FFFDABE3"/>
    <w:rsid w:val="FFFE1E07"/>
    <w:rsid w:val="FFFE2453"/>
    <w:rsid w:val="FFFE6792"/>
    <w:rsid w:val="FFFE98A9"/>
    <w:rsid w:val="FFFEDE08"/>
    <w:rsid w:val="FFFEF701"/>
    <w:rsid w:val="FFFEF909"/>
    <w:rsid w:val="FFFF0573"/>
    <w:rsid w:val="FFFF0C7C"/>
    <w:rsid w:val="FFFF1947"/>
    <w:rsid w:val="FFFF4874"/>
    <w:rsid w:val="FFFF8D02"/>
    <w:rsid w:val="FFFFEC35"/>
    <w:rsid w:val="FFFFF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3"/>
    <w:next w:val="1"/>
    <w:qFormat/>
    <w:uiPriority w:val="9"/>
    <w:pPr>
      <w:keepNext/>
      <w:keepLines/>
      <w:tabs>
        <w:tab w:val="left" w:pos="1260"/>
        <w:tab w:val="right" w:leader="dot" w:pos="8296"/>
      </w:tabs>
      <w:spacing w:before="600" w:after="156" w:afterLines="50" w:line="360" w:lineRule="auto"/>
      <w:jc w:val="center"/>
      <w:outlineLvl w:val="0"/>
    </w:pPr>
    <w:rPr>
      <w:rFonts w:ascii="宋体" w:hAnsi="宋体"/>
      <w:b/>
      <w:bCs/>
      <w:kern w:val="44"/>
      <w:sz w:val="24"/>
    </w:rPr>
  </w:style>
  <w:style w:type="paragraph" w:styleId="4">
    <w:name w:val="heading 4"/>
    <w:basedOn w:val="1"/>
    <w:next w:val="1"/>
    <w:unhideWhenUsed/>
    <w:qFormat/>
    <w:uiPriority w:val="0"/>
    <w:pPr>
      <w:keepNext/>
      <w:keepLines/>
      <w:numPr>
        <w:ilvl w:val="3"/>
        <w:numId w:val="1"/>
      </w:numPr>
      <w:spacing w:before="280" w:after="290" w:line="377" w:lineRule="auto"/>
      <w:outlineLvl w:val="3"/>
    </w:pPr>
    <w:rPr>
      <w:rFonts w:hAnsiTheme="majorHAnsi"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toc 1"/>
    <w:basedOn w:val="1"/>
    <w:next w:val="1"/>
    <w:unhideWhenUsed/>
    <w:qFormat/>
    <w:uiPriority w:val="39"/>
    <w:pPr>
      <w:widowControl/>
      <w:tabs>
        <w:tab w:val="left" w:pos="1260"/>
        <w:tab w:val="right" w:leader="dot" w:pos="8296"/>
      </w:tabs>
      <w:spacing w:after="100" w:line="259" w:lineRule="auto"/>
      <w:jc w:val="left"/>
    </w:pPr>
    <w:rPr>
      <w:rFonts w:ascii="仿宋_GB2312" w:hAnsi="仿宋_GB2312"/>
      <w:kern w:val="0"/>
    </w:rPr>
  </w:style>
  <w:style w:type="paragraph" w:styleId="5">
    <w:name w:val="annotation text"/>
    <w:basedOn w:val="1"/>
    <w:link w:val="23"/>
    <w:unhideWhenUsed/>
    <w:qFormat/>
    <w:uiPriority w:val="99"/>
    <w:pPr>
      <w:jc w:val="left"/>
    </w:pPr>
  </w:style>
  <w:style w:type="paragraph" w:styleId="6">
    <w:name w:val="Body Text"/>
    <w:basedOn w:val="1"/>
    <w:qFormat/>
    <w:uiPriority w:val="1"/>
    <w:pPr>
      <w:ind w:left="222"/>
    </w:pPr>
    <w:rPr>
      <w:rFonts w:ascii="宋体" w:hAnsi="宋体" w:cs="宋体"/>
      <w:sz w:val="24"/>
      <w:lang w:val="zh-CN" w:bidi="zh-CN"/>
    </w:rPr>
  </w:style>
  <w:style w:type="paragraph" w:styleId="7">
    <w:name w:val="Plain Text"/>
    <w:basedOn w:val="1"/>
    <w:next w:val="4"/>
    <w:qFormat/>
    <w:uiPriority w:val="0"/>
    <w:pPr>
      <w:widowControl w:val="0"/>
      <w:adjustRightInd w:val="0"/>
      <w:snapToGrid w:val="0"/>
      <w:spacing w:line="400" w:lineRule="exact"/>
      <w:jc w:val="both"/>
    </w:pPr>
    <w:rPr>
      <w:rFonts w:hAnsi="Courier New" w:cs="Times New Roman"/>
      <w:b/>
      <w:kern w:val="2"/>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2"/>
    <w:basedOn w:val="1"/>
    <w:next w:val="1"/>
    <w:unhideWhenUsed/>
    <w:qFormat/>
    <w:uiPriority w:val="39"/>
    <w:pPr>
      <w:widowControl/>
      <w:spacing w:after="100" w:line="259" w:lineRule="auto"/>
      <w:ind w:left="220"/>
      <w:jc w:val="left"/>
    </w:pPr>
    <w:rPr>
      <w:rFonts w:ascii="仿宋_GB2312" w:hAnsi="仿宋_GB2312"/>
      <w:kern w:val="0"/>
    </w:rPr>
  </w:style>
  <w:style w:type="paragraph" w:styleId="11">
    <w:name w:val="Normal (Web)"/>
    <w:basedOn w:val="1"/>
    <w:semiHidden/>
    <w:unhideWhenUsed/>
    <w:qFormat/>
    <w:uiPriority w:val="99"/>
    <w:pPr>
      <w:spacing w:beforeAutospacing="1" w:afterAutospacing="1"/>
      <w:jc w:val="left"/>
    </w:pPr>
    <w:rPr>
      <w:kern w:val="0"/>
      <w:sz w:val="24"/>
    </w:rPr>
  </w:style>
  <w:style w:type="paragraph" w:styleId="12">
    <w:name w:val="annotation subject"/>
    <w:basedOn w:val="5"/>
    <w:next w:val="5"/>
    <w:link w:val="24"/>
    <w:semiHidden/>
    <w:unhideWhenUsed/>
    <w:qFormat/>
    <w:uiPriority w:val="99"/>
    <w:rPr>
      <w:b/>
      <w:bCs/>
    </w:rPr>
  </w:style>
  <w:style w:type="paragraph" w:styleId="13">
    <w:name w:val="Body Text First Indent"/>
    <w:basedOn w:val="6"/>
    <w:next w:val="1"/>
    <w:unhideWhenUsed/>
    <w:qFormat/>
    <w:uiPriority w:val="99"/>
    <w:pPr>
      <w:ind w:firstLine="420" w:firstLineChars="100"/>
    </w:p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semiHidden/>
    <w:unhideWhenUsed/>
    <w:qFormat/>
    <w:uiPriority w:val="99"/>
    <w:rPr>
      <w:sz w:val="21"/>
      <w:szCs w:val="21"/>
    </w:rPr>
  </w:style>
  <w:style w:type="character" w:customStyle="1" w:styleId="18">
    <w:name w:val="页脚 字符"/>
    <w:link w:val="8"/>
    <w:semiHidden/>
    <w:qFormat/>
    <w:uiPriority w:val="99"/>
    <w:rPr>
      <w:sz w:val="18"/>
      <w:szCs w:val="18"/>
    </w:rPr>
  </w:style>
  <w:style w:type="character" w:customStyle="1" w:styleId="19">
    <w:name w:val="页眉 字符"/>
    <w:link w:val="9"/>
    <w:semiHidden/>
    <w:qFormat/>
    <w:uiPriority w:val="99"/>
    <w:rPr>
      <w:sz w:val="18"/>
      <w:szCs w:val="18"/>
    </w:rPr>
  </w:style>
  <w:style w:type="paragraph" w:styleId="20">
    <w:name w:val="List Paragraph"/>
    <w:basedOn w:val="1"/>
    <w:qFormat/>
    <w:uiPriority w:val="34"/>
    <w:pPr>
      <w:ind w:firstLine="420" w:firstLineChars="200"/>
    </w:pPr>
  </w:style>
  <w:style w:type="table" w:customStyle="1" w:styleId="21">
    <w:name w:val="Table Normal"/>
    <w:semiHidden/>
    <w:unhideWhenUsed/>
    <w:qFormat/>
    <w:uiPriority w:val="0"/>
    <w:tblPr>
      <w:tblCellMar>
        <w:top w:w="0" w:type="dxa"/>
        <w:left w:w="0" w:type="dxa"/>
        <w:bottom w:w="0" w:type="dxa"/>
        <w:right w:w="0" w:type="dxa"/>
      </w:tblCellMar>
    </w:tblPr>
  </w:style>
  <w:style w:type="paragraph" w:customStyle="1" w:styleId="22">
    <w:name w:val="修订1"/>
    <w:hidden/>
    <w:semiHidden/>
    <w:qFormat/>
    <w:uiPriority w:val="99"/>
    <w:rPr>
      <w:rFonts w:ascii="Times New Roman" w:hAnsi="Times New Roman" w:eastAsia="宋体" w:cs="Times New Roman"/>
      <w:kern w:val="2"/>
      <w:sz w:val="21"/>
      <w:szCs w:val="22"/>
      <w:lang w:val="en-US" w:eastAsia="zh-CN" w:bidi="ar-SA"/>
    </w:rPr>
  </w:style>
  <w:style w:type="character" w:customStyle="1" w:styleId="23">
    <w:name w:val="批注文字 字符"/>
    <w:basedOn w:val="16"/>
    <w:link w:val="5"/>
    <w:qFormat/>
    <w:uiPriority w:val="99"/>
    <w:rPr>
      <w:kern w:val="2"/>
      <w:sz w:val="21"/>
      <w:szCs w:val="22"/>
    </w:rPr>
  </w:style>
  <w:style w:type="character" w:customStyle="1" w:styleId="24">
    <w:name w:val="批注主题 字符"/>
    <w:basedOn w:val="23"/>
    <w:link w:val="12"/>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5373</Words>
  <Characters>5460</Characters>
  <Lines>33</Lines>
  <Paragraphs>9</Paragraphs>
  <TotalTime>0</TotalTime>
  <ScaleCrop>false</ScaleCrop>
  <LinksUpToDate>false</LinksUpToDate>
  <CharactersWithSpaces>5479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2024-04-26T00:56:00Z</dcterms:created>
  <dc:creator>傅鹏</dc:creator>
  <cp:lastModifiedBy>zbb</cp:lastModifiedBy>
  <dcterms:modified xsi:type="dcterms:W3CDTF">2024-06-11T07:44:23Z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AACCB30EAB834D0DBD3A07785F93A194_13</vt:lpwstr>
  </property>
</Properties>
</file>