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eastAsia="黑体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 xml:space="preserve">       </w:t>
      </w:r>
      <w:r>
        <w:rPr>
          <w:rFonts w:hint="eastAsia" w:ascii="黑体" w:eastAsia="黑体"/>
        </w:rPr>
        <w:t xml:space="preserve">                                           </w:t>
      </w:r>
    </w:p>
    <w:p>
      <w:pPr>
        <w:wordWrap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截至202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年末发行的新增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一般</w:t>
      </w:r>
      <w:r>
        <w:rPr>
          <w:rFonts w:hint="eastAsia" w:ascii="方正小标宋简体" w:eastAsia="方正小标宋简体"/>
          <w:sz w:val="44"/>
          <w:szCs w:val="44"/>
        </w:rPr>
        <w:t>专项债券情况表</w:t>
      </w:r>
    </w:p>
    <w:tbl>
      <w:tblPr>
        <w:tblStyle w:val="3"/>
        <w:tblpPr w:leftFromText="180" w:rightFromText="180" w:vertAnchor="text" w:horzAnchor="page" w:tblpX="877" w:tblpY="231"/>
        <w:tblOverlap w:val="never"/>
        <w:tblW w:w="14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22"/>
        <w:gridCol w:w="1336"/>
        <w:gridCol w:w="456"/>
        <w:gridCol w:w="853"/>
        <w:gridCol w:w="1400"/>
        <w:gridCol w:w="834"/>
        <w:gridCol w:w="583"/>
        <w:gridCol w:w="1250"/>
        <w:gridCol w:w="800"/>
        <w:gridCol w:w="1183"/>
        <w:gridCol w:w="900"/>
        <w:gridCol w:w="1200"/>
        <w:gridCol w:w="884"/>
        <w:gridCol w:w="433"/>
        <w:gridCol w:w="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部门名称</w:t>
            </w:r>
          </w:p>
        </w:tc>
        <w:tc>
          <w:tcPr>
            <w:tcW w:w="6684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债券信息</w:t>
            </w:r>
          </w:p>
        </w:tc>
        <w:tc>
          <w:tcPr>
            <w:tcW w:w="665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债券项目情况</w:t>
            </w:r>
          </w:p>
        </w:tc>
        <w:tc>
          <w:tcPr>
            <w:tcW w:w="46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债券名称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债券编码</w:t>
            </w:r>
          </w:p>
        </w:tc>
        <w:tc>
          <w:tcPr>
            <w:tcW w:w="4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债券类型</w:t>
            </w:r>
          </w:p>
        </w:tc>
        <w:tc>
          <w:tcPr>
            <w:tcW w:w="85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债券规模（万元）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发行时间（年/月/日）</w:t>
            </w:r>
          </w:p>
        </w:tc>
        <w:tc>
          <w:tcPr>
            <w:tcW w:w="8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债券利率（%）</w:t>
            </w:r>
          </w:p>
        </w:tc>
        <w:tc>
          <w:tcPr>
            <w:tcW w:w="5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债券期限（年）</w:t>
            </w:r>
          </w:p>
        </w:tc>
        <w:tc>
          <w:tcPr>
            <w:tcW w:w="12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所在地区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项目总投资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项目已实现投资</w:t>
            </w:r>
          </w:p>
        </w:tc>
        <w:tc>
          <w:tcPr>
            <w:tcW w:w="433" w:type="dxa"/>
            <w:vMerge w:val="restart"/>
            <w:tcBorders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建设进度及运营情况</w:t>
            </w:r>
          </w:p>
        </w:tc>
        <w:tc>
          <w:tcPr>
            <w:tcW w:w="4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其中：债券资金安排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其中：债券资金安排</w:t>
            </w:r>
          </w:p>
        </w:tc>
        <w:tc>
          <w:tcPr>
            <w:tcW w:w="433" w:type="dxa"/>
            <w:vMerge w:val="continue"/>
            <w:tcBorders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97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　广西壮族自治区南溪山医院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　2022年广西壮族自治区政府一般债券（六期）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　2271158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　一般债券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　10000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2022.6.16　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　2.92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　10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广西壮族自治区南溪山医院公共卫生应急救治中心项目　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广西桂林市雁山区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25101.76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　10000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13158.57　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　10000</w:t>
            </w:r>
          </w:p>
        </w:tc>
        <w:tc>
          <w:tcPr>
            <w:tcW w:w="43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正常</w:t>
            </w:r>
          </w:p>
        </w:tc>
        <w:tc>
          <w:tcPr>
            <w:tcW w:w="467" w:type="dxa"/>
            <w:noWrap/>
            <w:vAlign w:val="bottom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　</w:t>
            </w:r>
          </w:p>
        </w:tc>
      </w:tr>
    </w:tbl>
    <w:p/>
    <w:p/>
    <w:p>
      <w:pPr>
        <w:spacing w:line="560" w:lineRule="exact"/>
        <w:jc w:val="left"/>
        <w:rPr>
          <w:rFonts w:ascii="黑体" w:eastAsia="黑体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2</w:t>
      </w:r>
      <w:r>
        <w:rPr>
          <w:rFonts w:hint="eastAsia" w:ascii="黑体" w:hAnsi="黑体" w:eastAsia="黑体"/>
          <w:szCs w:val="32"/>
        </w:rPr>
        <w:t xml:space="preserve">       </w:t>
      </w:r>
      <w:r>
        <w:rPr>
          <w:rFonts w:hint="eastAsia" w:ascii="黑体" w:eastAsia="黑体"/>
        </w:rPr>
        <w:t xml:space="preserve">                                           </w:t>
      </w:r>
    </w:p>
    <w:p>
      <w:pPr>
        <w:wordWrap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截至202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年末发行的新增政府专项债券情况表</w:t>
      </w:r>
    </w:p>
    <w:tbl>
      <w:tblPr>
        <w:tblStyle w:val="3"/>
        <w:tblpPr w:leftFromText="180" w:rightFromText="180" w:vertAnchor="text" w:horzAnchor="page" w:tblpX="877" w:tblpY="231"/>
        <w:tblOverlap w:val="never"/>
        <w:tblW w:w="14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22"/>
        <w:gridCol w:w="1336"/>
        <w:gridCol w:w="456"/>
        <w:gridCol w:w="696"/>
        <w:gridCol w:w="1296"/>
        <w:gridCol w:w="709"/>
        <w:gridCol w:w="480"/>
        <w:gridCol w:w="1260"/>
        <w:gridCol w:w="960"/>
        <w:gridCol w:w="705"/>
        <w:gridCol w:w="735"/>
        <w:gridCol w:w="715"/>
        <w:gridCol w:w="709"/>
        <w:gridCol w:w="1214"/>
        <w:gridCol w:w="423"/>
        <w:gridCol w:w="531"/>
        <w:gridCol w:w="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部门名称</w:t>
            </w:r>
          </w:p>
        </w:tc>
        <w:tc>
          <w:tcPr>
            <w:tcW w:w="6195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债券信息</w:t>
            </w:r>
          </w:p>
        </w:tc>
        <w:tc>
          <w:tcPr>
            <w:tcW w:w="7252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债券项目情况</w:t>
            </w:r>
          </w:p>
        </w:tc>
        <w:tc>
          <w:tcPr>
            <w:tcW w:w="43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债券名称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债券编码</w:t>
            </w:r>
          </w:p>
        </w:tc>
        <w:tc>
          <w:tcPr>
            <w:tcW w:w="4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债券类型</w:t>
            </w: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债券规模（万元）</w:t>
            </w:r>
          </w:p>
        </w:tc>
        <w:tc>
          <w:tcPr>
            <w:tcW w:w="129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发行时间（年/月/日）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债券利率（%）</w:t>
            </w:r>
          </w:p>
        </w:tc>
        <w:tc>
          <w:tcPr>
            <w:tcW w:w="4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债券期限（年）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债券项目资产类型</w:t>
            </w:r>
          </w:p>
        </w:tc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项目总投资</w:t>
            </w:r>
          </w:p>
        </w:tc>
        <w:tc>
          <w:tcPr>
            <w:tcW w:w="1424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项目已实现投资</w:t>
            </w:r>
          </w:p>
        </w:tc>
        <w:tc>
          <w:tcPr>
            <w:tcW w:w="121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已取得项目收益</w:t>
            </w:r>
          </w:p>
        </w:tc>
        <w:tc>
          <w:tcPr>
            <w:tcW w:w="42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形成资产情况</w:t>
            </w:r>
          </w:p>
        </w:tc>
        <w:tc>
          <w:tcPr>
            <w:tcW w:w="53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建设进度及运营情况</w:t>
            </w:r>
          </w:p>
        </w:tc>
        <w:tc>
          <w:tcPr>
            <w:tcW w:w="4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4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其中：债券资金安排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其中：债券资金安排</w:t>
            </w:r>
          </w:p>
        </w:tc>
        <w:tc>
          <w:tcPr>
            <w:tcW w:w="12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97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　广西壮族自治区南溪山医院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　2020年广西壮族自治区政府公立医院专项债券（三期）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　2005353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　政府专项债券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　5000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2020.4.28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　3.26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　15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广西壮族自治区南溪山医院住院八号综合楼　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房屋建筑物构建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8711.96</w:t>
            </w:r>
          </w:p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万元　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　5000万元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8650.85</w:t>
            </w:r>
          </w:p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万元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　5000万元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5398.40</w:t>
            </w:r>
          </w:p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万元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是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正常　</w:t>
            </w:r>
          </w:p>
        </w:tc>
        <w:tc>
          <w:tcPr>
            <w:tcW w:w="437" w:type="dxa"/>
            <w:noWrap/>
            <w:vAlign w:val="bottom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97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　广西壮族自治区南溪山医院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2022年广西壮族自治区政府社会领域专项债券（三期）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2205768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政府专项债券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4000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2022.5.18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3.32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广西壮族自治区南溪山医院教学楼及配套综合楼项目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房屋建筑物构建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5417.96</w:t>
            </w:r>
          </w:p>
          <w:p>
            <w:pPr>
              <w:widowControl/>
              <w:jc w:val="left"/>
              <w:rPr>
                <w:rFonts w:hint="default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万元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4000万元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4430.33</w:t>
            </w:r>
          </w:p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万元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4000万元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是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正常</w:t>
            </w:r>
          </w:p>
        </w:tc>
        <w:tc>
          <w:tcPr>
            <w:tcW w:w="437" w:type="dxa"/>
            <w:noWrap/>
            <w:vAlign w:val="bottom"/>
          </w:tcPr>
          <w:p>
            <w:pPr>
              <w:widowControl/>
              <w:jc w:val="left"/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snapToGrid w:val="0"/>
        <w:jc w:val="right"/>
        <w:rPr>
          <w:rFonts w:hint="eastAsia"/>
          <w:sz w:val="30"/>
          <w:szCs w:val="30"/>
        </w:rPr>
      </w:pPr>
    </w:p>
    <w:p>
      <w:pPr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</w:p>
    <w:p>
      <w:pPr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截至202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年末发行的新增地方政府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一般</w:t>
      </w:r>
      <w:r>
        <w:rPr>
          <w:rFonts w:hint="eastAsia" w:ascii="方正小标宋简体" w:hAnsi="黑体" w:eastAsia="方正小标宋简体"/>
          <w:sz w:val="44"/>
          <w:szCs w:val="44"/>
        </w:rPr>
        <w:t>债券资金收支情况表</w:t>
      </w:r>
    </w:p>
    <w:p>
      <w:pPr>
        <w:widowControl/>
        <w:jc w:val="left"/>
        <w:rPr>
          <w:rFonts w:hint="eastAsia"/>
          <w:sz w:val="20"/>
          <w:szCs w:val="20"/>
        </w:rPr>
      </w:pPr>
    </w:p>
    <w:p>
      <w:pPr>
        <w:widowControl/>
        <w:jc w:val="right"/>
        <w:rPr>
          <w:rFonts w:hint="eastAsia"/>
        </w:rPr>
      </w:pPr>
      <w:r>
        <w:rPr>
          <w:rFonts w:hint="eastAsia"/>
        </w:rPr>
        <w:t>单位：亿元</w:t>
      </w:r>
    </w:p>
    <w:tbl>
      <w:tblPr>
        <w:tblStyle w:val="3"/>
        <w:tblW w:w="141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712"/>
        <w:gridCol w:w="2945"/>
        <w:gridCol w:w="5903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260" w:type="dxa"/>
            <w:vMerge w:val="restart"/>
            <w:noWrap w:val="0"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序号</w:t>
            </w:r>
          </w:p>
        </w:tc>
        <w:tc>
          <w:tcPr>
            <w:tcW w:w="5657" w:type="dxa"/>
            <w:gridSpan w:val="2"/>
            <w:noWrap w:val="0"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截至202</w:t>
            </w:r>
            <w:r>
              <w:rPr>
                <w:rFonts w:hint="eastAsia" w:hAnsi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hAnsi="黑体"/>
                <w:sz w:val="24"/>
                <w:szCs w:val="24"/>
              </w:rPr>
              <w:t>年末新增</w:t>
            </w:r>
            <w:r>
              <w:rPr>
                <w:rFonts w:hint="eastAsia" w:hAnsi="黑体"/>
                <w:sz w:val="24"/>
                <w:szCs w:val="24"/>
                <w:lang w:eastAsia="zh-CN"/>
              </w:rPr>
              <w:t>一般</w:t>
            </w:r>
            <w:r>
              <w:rPr>
                <w:rFonts w:hint="eastAsia" w:hAnsi="黑体"/>
                <w:sz w:val="24"/>
                <w:szCs w:val="24"/>
              </w:rPr>
              <w:t>债券资金收入</w:t>
            </w:r>
          </w:p>
        </w:tc>
        <w:tc>
          <w:tcPr>
            <w:tcW w:w="7241" w:type="dxa"/>
            <w:gridSpan w:val="2"/>
            <w:noWrap w:val="0"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截至202</w:t>
            </w:r>
            <w:r>
              <w:rPr>
                <w:rFonts w:hint="eastAsia" w:hAnsi="黑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黑体"/>
                <w:sz w:val="24"/>
                <w:szCs w:val="24"/>
              </w:rPr>
              <w:t>年末新增</w:t>
            </w:r>
            <w:r>
              <w:rPr>
                <w:rFonts w:hint="eastAsia" w:hAnsi="黑体"/>
                <w:sz w:val="24"/>
                <w:szCs w:val="24"/>
                <w:lang w:eastAsia="zh-CN"/>
              </w:rPr>
              <w:t>一般</w:t>
            </w:r>
            <w:r>
              <w:rPr>
                <w:rFonts w:hint="eastAsia" w:hAnsi="黑体"/>
                <w:sz w:val="24"/>
                <w:szCs w:val="24"/>
              </w:rPr>
              <w:t>债券资金安排的支出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60" w:type="dxa"/>
            <w:vMerge w:val="continue"/>
            <w:noWrap w:val="0"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271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债券名称</w:t>
            </w:r>
          </w:p>
        </w:tc>
        <w:tc>
          <w:tcPr>
            <w:tcW w:w="2945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金额</w:t>
            </w:r>
          </w:p>
        </w:tc>
        <w:tc>
          <w:tcPr>
            <w:tcW w:w="5903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支出功能分类</w:t>
            </w:r>
          </w:p>
        </w:tc>
        <w:tc>
          <w:tcPr>
            <w:tcW w:w="1338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60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合计</w:t>
            </w:r>
          </w:p>
        </w:tc>
        <w:tc>
          <w:tcPr>
            <w:tcW w:w="271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</w:p>
        </w:tc>
        <w:tc>
          <w:tcPr>
            <w:tcW w:w="2945" w:type="dxa"/>
            <w:noWrap/>
            <w:vAlign w:val="top"/>
          </w:tcPr>
          <w:p>
            <w:pPr>
              <w:rPr>
                <w:rFonts w:hint="eastAsia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  <w:r>
              <w:rPr>
                <w:rFonts w:hint="eastAsia" w:hAnsi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03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</w:p>
        </w:tc>
        <w:tc>
          <w:tcPr>
            <w:tcW w:w="1338" w:type="dxa"/>
            <w:noWrap/>
            <w:vAlign w:val="top"/>
          </w:tcPr>
          <w:p>
            <w:pPr>
              <w:rPr>
                <w:rFonts w:hint="eastAsia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  <w:r>
              <w:rPr>
                <w:rFonts w:hint="eastAsia" w:hAnsi="黑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260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1</w:t>
            </w:r>
          </w:p>
        </w:tc>
        <w:tc>
          <w:tcPr>
            <w:tcW w:w="271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2022年广西壮族自治区政府一般债券（六期）</w:t>
            </w:r>
          </w:p>
        </w:tc>
        <w:tc>
          <w:tcPr>
            <w:tcW w:w="2945" w:type="dxa"/>
            <w:noWrap/>
            <w:vAlign w:val="top"/>
          </w:tcPr>
          <w:p>
            <w:pPr>
              <w:rPr>
                <w:rFonts w:hint="default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  <w:r>
              <w:rPr>
                <w:rFonts w:hint="eastAsia" w:hAnsi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03" w:type="dxa"/>
            <w:noWrap/>
            <w:vAlign w:val="top"/>
          </w:tcPr>
          <w:p>
            <w:pPr>
              <w:rPr>
                <w:rFonts w:hint="default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</w:rPr>
              <w:t>2</w:t>
            </w:r>
            <w:r>
              <w:rPr>
                <w:rFonts w:hint="eastAsia" w:hAnsi="黑体"/>
                <w:sz w:val="24"/>
                <w:szCs w:val="24"/>
                <w:lang w:val="en-US" w:eastAsia="zh-CN"/>
              </w:rPr>
              <w:t>10 卫生健康支出</w:t>
            </w:r>
          </w:p>
        </w:tc>
        <w:tc>
          <w:tcPr>
            <w:tcW w:w="1338" w:type="dxa"/>
            <w:noWrap/>
            <w:vAlign w:val="top"/>
          </w:tcPr>
          <w:p>
            <w:pPr>
              <w:rPr>
                <w:rFonts w:hint="default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  <w:r>
              <w:rPr>
                <w:rFonts w:hint="eastAsia" w:hAnsi="黑体"/>
                <w:sz w:val="24"/>
                <w:szCs w:val="24"/>
                <w:lang w:val="en-US" w:eastAsia="zh-CN"/>
              </w:rPr>
              <w:t>1</w:t>
            </w:r>
          </w:p>
        </w:tc>
      </w:tr>
    </w:tbl>
    <w:p/>
    <w:p/>
    <w:p/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附件4</w:t>
      </w:r>
    </w:p>
    <w:p>
      <w:pPr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截至202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年末发行的新增地方政府专项债券资金收支情况表</w:t>
      </w:r>
    </w:p>
    <w:p>
      <w:pPr>
        <w:widowControl/>
        <w:jc w:val="left"/>
        <w:rPr>
          <w:rFonts w:hint="eastAsia"/>
          <w:sz w:val="20"/>
          <w:szCs w:val="20"/>
        </w:rPr>
      </w:pPr>
    </w:p>
    <w:p>
      <w:pPr>
        <w:widowControl/>
        <w:jc w:val="right"/>
        <w:rPr>
          <w:rFonts w:hint="eastAsia"/>
        </w:rPr>
      </w:pPr>
      <w:r>
        <w:rPr>
          <w:rFonts w:hint="eastAsia"/>
        </w:rPr>
        <w:t>单位：亿元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3299"/>
        <w:gridCol w:w="2461"/>
        <w:gridCol w:w="5507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228" w:type="dxa"/>
            <w:vMerge w:val="restart"/>
            <w:noWrap w:val="0"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序号</w:t>
            </w:r>
          </w:p>
        </w:tc>
        <w:tc>
          <w:tcPr>
            <w:tcW w:w="5760" w:type="dxa"/>
            <w:gridSpan w:val="2"/>
            <w:noWrap w:val="0"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截至202</w:t>
            </w:r>
            <w:r>
              <w:rPr>
                <w:rFonts w:hint="eastAsia" w:hAnsi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hAnsi="黑体"/>
                <w:sz w:val="24"/>
                <w:szCs w:val="24"/>
              </w:rPr>
              <w:t>年末新增专项债券资金收入</w:t>
            </w:r>
          </w:p>
        </w:tc>
        <w:tc>
          <w:tcPr>
            <w:tcW w:w="6811" w:type="dxa"/>
            <w:gridSpan w:val="2"/>
            <w:noWrap w:val="0"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截至202</w:t>
            </w:r>
            <w:r>
              <w:rPr>
                <w:rFonts w:hint="eastAsia" w:hAnsi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hAnsi="黑体"/>
                <w:sz w:val="24"/>
                <w:szCs w:val="24"/>
              </w:rPr>
              <w:t>年末新增专项债券资金安排的支出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28" w:type="dxa"/>
            <w:vMerge w:val="continue"/>
            <w:noWrap w:val="0"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3299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债券名称</w:t>
            </w:r>
          </w:p>
        </w:tc>
        <w:tc>
          <w:tcPr>
            <w:tcW w:w="2461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金额</w:t>
            </w:r>
          </w:p>
        </w:tc>
        <w:tc>
          <w:tcPr>
            <w:tcW w:w="5507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支出功能分类</w:t>
            </w:r>
          </w:p>
        </w:tc>
        <w:tc>
          <w:tcPr>
            <w:tcW w:w="1304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28" w:type="dxa"/>
            <w:noWrap/>
            <w:vAlign w:val="top"/>
          </w:tcPr>
          <w:p>
            <w:pPr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合计</w:t>
            </w:r>
          </w:p>
        </w:tc>
        <w:tc>
          <w:tcPr>
            <w:tcW w:w="3299" w:type="dxa"/>
            <w:noWrap/>
            <w:vAlign w:val="top"/>
          </w:tcPr>
          <w:p>
            <w:pPr>
              <w:jc w:val="center"/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2461" w:type="dxa"/>
            <w:noWrap/>
            <w:vAlign w:val="top"/>
          </w:tcPr>
          <w:p>
            <w:pPr>
              <w:jc w:val="center"/>
              <w:rPr>
                <w:rFonts w:hint="default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0.9</w:t>
            </w:r>
          </w:p>
        </w:tc>
        <w:tc>
          <w:tcPr>
            <w:tcW w:w="5507" w:type="dxa"/>
            <w:noWrap/>
            <w:vAlign w:val="top"/>
          </w:tcPr>
          <w:p>
            <w:pPr>
              <w:jc w:val="center"/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top"/>
          </w:tcPr>
          <w:p>
            <w:pPr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228" w:type="dxa"/>
            <w:noWrap/>
            <w:vAlign w:val="top"/>
          </w:tcPr>
          <w:p>
            <w:pPr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1</w:t>
            </w:r>
          </w:p>
        </w:tc>
        <w:tc>
          <w:tcPr>
            <w:tcW w:w="3299" w:type="dxa"/>
            <w:noWrap/>
            <w:vAlign w:val="top"/>
          </w:tcPr>
          <w:p>
            <w:pPr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2020年广西壮族自治区政府公立医院专项债券（三期）</w:t>
            </w:r>
          </w:p>
        </w:tc>
        <w:tc>
          <w:tcPr>
            <w:tcW w:w="2461" w:type="dxa"/>
            <w:noWrap/>
            <w:vAlign w:val="top"/>
          </w:tcPr>
          <w:p>
            <w:pPr>
              <w:jc w:val="center"/>
              <w:rPr>
                <w:rFonts w:hint="default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hAnsi="黑体"/>
                <w:sz w:val="24"/>
                <w:szCs w:val="24"/>
                <w:lang w:val="en-US" w:eastAsia="zh-CN"/>
              </w:rPr>
              <w:t>.5</w:t>
            </w:r>
          </w:p>
        </w:tc>
        <w:tc>
          <w:tcPr>
            <w:tcW w:w="5507" w:type="dxa"/>
            <w:noWrap/>
            <w:vAlign w:val="top"/>
          </w:tcPr>
          <w:p>
            <w:pPr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2</w:t>
            </w:r>
            <w:r>
              <w:rPr>
                <w:rFonts w:hint="eastAsia" w:hAnsi="黑体"/>
                <w:sz w:val="24"/>
                <w:szCs w:val="24"/>
                <w:lang w:val="en-US" w:eastAsia="zh-CN"/>
              </w:rPr>
              <w:t>10 卫生健康支出</w:t>
            </w:r>
          </w:p>
        </w:tc>
        <w:tc>
          <w:tcPr>
            <w:tcW w:w="1304" w:type="dxa"/>
            <w:noWrap/>
            <w:vAlign w:val="top"/>
          </w:tcPr>
          <w:p>
            <w:pPr>
              <w:jc w:val="center"/>
              <w:rPr>
                <w:rFonts w:hint="default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228" w:type="dxa"/>
            <w:noWrap/>
            <w:vAlign w:val="top"/>
          </w:tcPr>
          <w:p>
            <w:pPr>
              <w:jc w:val="center"/>
              <w:rPr>
                <w:rFonts w:hint="eastAsia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99" w:type="dxa"/>
            <w:noWrap/>
            <w:vAlign w:val="top"/>
          </w:tcPr>
          <w:p>
            <w:pPr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  <w:highlight w:val="none"/>
                <w:lang w:val="en-US" w:eastAsia="zh-CN"/>
              </w:rPr>
              <w:t>2022年广西壮族自治区政府社会领域专项债券（三期）</w:t>
            </w:r>
          </w:p>
        </w:tc>
        <w:tc>
          <w:tcPr>
            <w:tcW w:w="2461" w:type="dxa"/>
            <w:noWrap/>
            <w:vAlign w:val="top"/>
          </w:tcPr>
          <w:p>
            <w:pPr>
              <w:ind w:firstLine="240" w:firstLineChars="100"/>
              <w:jc w:val="center"/>
              <w:rPr>
                <w:rFonts w:hint="default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0.4</w:t>
            </w:r>
          </w:p>
        </w:tc>
        <w:tc>
          <w:tcPr>
            <w:tcW w:w="5507" w:type="dxa"/>
            <w:noWrap/>
            <w:vAlign w:val="top"/>
          </w:tcPr>
          <w:p>
            <w:pPr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2</w:t>
            </w:r>
            <w:r>
              <w:rPr>
                <w:rFonts w:hint="eastAsia" w:hAnsi="黑体"/>
                <w:sz w:val="24"/>
                <w:szCs w:val="24"/>
                <w:lang w:val="en-US" w:eastAsia="zh-CN"/>
              </w:rPr>
              <w:t>10 卫生健康支出</w:t>
            </w:r>
          </w:p>
        </w:tc>
        <w:tc>
          <w:tcPr>
            <w:tcW w:w="1304" w:type="dxa"/>
            <w:noWrap/>
            <w:vAlign w:val="top"/>
          </w:tcPr>
          <w:p>
            <w:pPr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0.4</w:t>
            </w:r>
          </w:p>
        </w:tc>
      </w:tr>
    </w:tbl>
    <w:p/>
    <w:sectPr>
      <w:pgSz w:w="16838" w:h="11906" w:orient="landscape"/>
      <w:pgMar w:top="1800" w:right="1440" w:bottom="129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MjkzMmE5OTc5ZmM5MTNlMjU0NzMwN2JjYjRmZWQifQ=="/>
  </w:docVars>
  <w:rsids>
    <w:rsidRoot w:val="4C060361"/>
    <w:rsid w:val="02666D64"/>
    <w:rsid w:val="29AF561F"/>
    <w:rsid w:val="2CD71115"/>
    <w:rsid w:val="3AF235BE"/>
    <w:rsid w:val="41930E66"/>
    <w:rsid w:val="493108C7"/>
    <w:rsid w:val="4C060361"/>
    <w:rsid w:val="4C20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</Words>
  <Characters>260</Characters>
  <Lines>0</Lines>
  <Paragraphs>0</Paragraphs>
  <TotalTime>0</TotalTime>
  <ScaleCrop>false</ScaleCrop>
  <LinksUpToDate>false</LinksUpToDate>
  <CharactersWithSpaces>325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2024-07-09T03:24:00Z</dcterms:created>
  <dc:creator>abc</dc:creator>
  <cp:lastModifiedBy>abc</cp:lastModifiedBy>
  <dcterms:modified xsi:type="dcterms:W3CDTF">2024-07-09T08:44:43Z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1D722BE82B164E7B81E334EC5A7C44DE_11</vt:lpwstr>
  </property>
</Properties>
</file>