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09049">
      <w:pPr>
        <w:spacing w:line="360" w:lineRule="auto"/>
        <w:jc w:val="center"/>
        <w:rPr>
          <w:b/>
        </w:rPr>
      </w:pPr>
      <w:r>
        <w:rPr>
          <w:rFonts w:hint="eastAsia"/>
          <w:b/>
          <w:sz w:val="30"/>
          <w:szCs w:val="30"/>
        </w:rPr>
        <w:t>广西壮族自治区南溪山医院</w:t>
      </w:r>
      <w:r>
        <w:rPr>
          <w:rFonts w:hint="eastAsia"/>
          <w:b/>
          <w:sz w:val="30"/>
          <w:szCs w:val="30"/>
          <w:lang w:val="en-US" w:eastAsia="zh-CN"/>
        </w:rPr>
        <w:t>病案全质控系统</w:t>
      </w:r>
      <w:bookmarkStart w:id="1" w:name="_GoBack"/>
      <w:bookmarkEnd w:id="1"/>
      <w:r>
        <w:rPr>
          <w:rFonts w:hint="eastAsia"/>
          <w:b/>
          <w:sz w:val="30"/>
          <w:szCs w:val="30"/>
        </w:rPr>
        <w:t>采购需求</w:t>
      </w:r>
    </w:p>
    <w:p w14:paraId="398169FD">
      <w:pPr>
        <w:pStyle w:val="3"/>
        <w:numPr>
          <w:ilvl w:val="0"/>
          <w:numId w:val="0"/>
        </w:numPr>
        <w:spacing w:line="360" w:lineRule="auto"/>
        <w:jc w:val="both"/>
        <w:rPr>
          <w:rFonts w:hAnsi="宋体"/>
          <w:sz w:val="24"/>
          <w:szCs w:val="24"/>
        </w:rPr>
      </w:pPr>
      <w:bookmarkStart w:id="0" w:name="_Toc138860865"/>
      <w:r>
        <w:rPr>
          <w:rFonts w:hAnsi="宋体"/>
          <w:sz w:val="24"/>
          <w:szCs w:val="24"/>
        </w:rPr>
        <w:t>1.</w:t>
      </w:r>
      <w:r>
        <w:rPr>
          <w:rFonts w:hint="eastAsia" w:hAnsi="宋体"/>
          <w:sz w:val="24"/>
          <w:szCs w:val="24"/>
        </w:rPr>
        <w:t>项目建设内容</w:t>
      </w:r>
      <w:bookmarkEnd w:id="0"/>
    </w:p>
    <w:p w14:paraId="1B969374">
      <w:pPr>
        <w:pStyle w:val="4"/>
        <w:numPr>
          <w:ilvl w:val="0"/>
          <w:numId w:val="0"/>
        </w:numPr>
        <w:spacing w:line="360" w:lineRule="auto"/>
        <w:jc w:val="both"/>
        <w:rPr>
          <w:sz w:val="24"/>
          <w:szCs w:val="24"/>
        </w:rPr>
      </w:pPr>
      <w:r>
        <w:rPr>
          <w:sz w:val="24"/>
          <w:szCs w:val="24"/>
        </w:rPr>
        <w:t>1.1</w:t>
      </w:r>
      <w:r>
        <w:rPr>
          <w:rFonts w:hint="eastAsia"/>
          <w:sz w:val="24"/>
          <w:szCs w:val="24"/>
        </w:rPr>
        <w:t>数据集成及处理服务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01"/>
        <w:gridCol w:w="1560"/>
        <w:gridCol w:w="4467"/>
      </w:tblGrid>
      <w:tr w14:paraId="429A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1D309E3">
            <w:pPr>
              <w:spacing w:line="360" w:lineRule="auto"/>
              <w:jc w:val="both"/>
              <w:rPr>
                <w:szCs w:val="24"/>
              </w:rPr>
            </w:pPr>
            <w:r>
              <w:rPr>
                <w:rFonts w:hint="eastAsia"/>
                <w:szCs w:val="24"/>
              </w:rPr>
              <w:t>序号</w:t>
            </w:r>
          </w:p>
        </w:tc>
        <w:tc>
          <w:tcPr>
            <w:tcW w:w="1701" w:type="dxa"/>
          </w:tcPr>
          <w:p w14:paraId="6EA0E999">
            <w:pPr>
              <w:spacing w:line="360" w:lineRule="auto"/>
              <w:jc w:val="both"/>
              <w:rPr>
                <w:szCs w:val="24"/>
              </w:rPr>
            </w:pPr>
            <w:r>
              <w:rPr>
                <w:rFonts w:hint="eastAsia"/>
                <w:szCs w:val="24"/>
              </w:rPr>
              <w:t>一级功能</w:t>
            </w:r>
          </w:p>
        </w:tc>
        <w:tc>
          <w:tcPr>
            <w:tcW w:w="1560" w:type="dxa"/>
          </w:tcPr>
          <w:p w14:paraId="3B0E3D2D">
            <w:pPr>
              <w:spacing w:line="360" w:lineRule="auto"/>
              <w:jc w:val="both"/>
              <w:rPr>
                <w:szCs w:val="24"/>
              </w:rPr>
            </w:pPr>
            <w:r>
              <w:rPr>
                <w:rFonts w:hint="eastAsia"/>
                <w:szCs w:val="24"/>
              </w:rPr>
              <w:t>二级功能</w:t>
            </w:r>
          </w:p>
        </w:tc>
        <w:tc>
          <w:tcPr>
            <w:tcW w:w="4467" w:type="dxa"/>
          </w:tcPr>
          <w:p w14:paraId="7B09A6B3">
            <w:pPr>
              <w:spacing w:line="360" w:lineRule="auto"/>
              <w:jc w:val="both"/>
              <w:rPr>
                <w:szCs w:val="24"/>
              </w:rPr>
            </w:pPr>
            <w:r>
              <w:rPr>
                <w:rFonts w:hint="eastAsia"/>
                <w:szCs w:val="24"/>
              </w:rPr>
              <w:t>技术参数及性能配置要求</w:t>
            </w:r>
          </w:p>
        </w:tc>
      </w:tr>
      <w:tr w14:paraId="367C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EF7671C">
            <w:pPr>
              <w:spacing w:line="360" w:lineRule="auto"/>
              <w:jc w:val="both"/>
              <w:rPr>
                <w:szCs w:val="24"/>
              </w:rPr>
            </w:pPr>
            <w:r>
              <w:rPr>
                <w:rFonts w:hint="eastAsia"/>
                <w:szCs w:val="24"/>
              </w:rPr>
              <w:t>1</w:t>
            </w:r>
          </w:p>
        </w:tc>
        <w:tc>
          <w:tcPr>
            <w:tcW w:w="1701" w:type="dxa"/>
          </w:tcPr>
          <w:p w14:paraId="11F2B8EC">
            <w:pPr>
              <w:spacing w:line="360" w:lineRule="auto"/>
              <w:jc w:val="both"/>
              <w:rPr>
                <w:szCs w:val="24"/>
              </w:rPr>
            </w:pPr>
            <w:r>
              <w:rPr>
                <w:color w:val="1C1D1F"/>
                <w:szCs w:val="24"/>
              </w:rPr>
              <w:t>数据集成服务</w:t>
            </w:r>
          </w:p>
        </w:tc>
        <w:tc>
          <w:tcPr>
            <w:tcW w:w="1560" w:type="dxa"/>
          </w:tcPr>
          <w:p w14:paraId="11F79C17">
            <w:pPr>
              <w:spacing w:line="360" w:lineRule="auto"/>
              <w:jc w:val="both"/>
              <w:rPr>
                <w:szCs w:val="24"/>
              </w:rPr>
            </w:pPr>
            <w:r>
              <w:rPr>
                <w:color w:val="1C1D1F"/>
                <w:szCs w:val="24"/>
              </w:rPr>
              <w:t>数据集成</w:t>
            </w:r>
          </w:p>
        </w:tc>
        <w:tc>
          <w:tcPr>
            <w:tcW w:w="4467" w:type="dxa"/>
          </w:tcPr>
          <w:p w14:paraId="57512DDF">
            <w:pPr>
              <w:spacing w:line="360" w:lineRule="auto"/>
              <w:jc w:val="both"/>
              <w:rPr>
                <w:szCs w:val="24"/>
              </w:rPr>
            </w:pPr>
            <w:r>
              <w:rPr>
                <w:color w:val="1C1D1F"/>
                <w:szCs w:val="24"/>
              </w:rPr>
              <w:t>集成病历质控引擎所需相关数据，支持病案首页、入院记录、出院记录、手术记录、有创操作记录、医嘱单据的数据清洗治理。</w:t>
            </w:r>
          </w:p>
        </w:tc>
      </w:tr>
      <w:tr w14:paraId="3F96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tcPr>
          <w:p w14:paraId="7220CD78">
            <w:pPr>
              <w:spacing w:line="360" w:lineRule="auto"/>
              <w:jc w:val="both"/>
              <w:rPr>
                <w:szCs w:val="24"/>
              </w:rPr>
            </w:pPr>
            <w:r>
              <w:rPr>
                <w:rFonts w:hint="eastAsia"/>
                <w:szCs w:val="24"/>
              </w:rPr>
              <w:t>2</w:t>
            </w:r>
          </w:p>
        </w:tc>
        <w:tc>
          <w:tcPr>
            <w:tcW w:w="1701" w:type="dxa"/>
          </w:tcPr>
          <w:p w14:paraId="132AC83F">
            <w:pPr>
              <w:spacing w:line="360" w:lineRule="auto"/>
              <w:jc w:val="both"/>
              <w:rPr>
                <w:szCs w:val="24"/>
              </w:rPr>
            </w:pPr>
            <w:r>
              <w:rPr>
                <w:color w:val="1C1D1F"/>
                <w:szCs w:val="24"/>
              </w:rPr>
              <w:t>数据治理服务</w:t>
            </w:r>
          </w:p>
          <w:p w14:paraId="1A165583">
            <w:pPr>
              <w:spacing w:line="360" w:lineRule="auto"/>
              <w:jc w:val="both"/>
              <w:rPr>
                <w:szCs w:val="24"/>
              </w:rPr>
            </w:pPr>
          </w:p>
        </w:tc>
        <w:tc>
          <w:tcPr>
            <w:tcW w:w="1560" w:type="dxa"/>
          </w:tcPr>
          <w:p w14:paraId="3DE316AA">
            <w:pPr>
              <w:spacing w:line="360" w:lineRule="auto"/>
              <w:jc w:val="both"/>
              <w:rPr>
                <w:szCs w:val="24"/>
              </w:rPr>
            </w:pPr>
            <w:r>
              <w:rPr>
                <w:color w:val="1C1D1F"/>
                <w:szCs w:val="24"/>
              </w:rPr>
              <w:t>数据规范化存储</w:t>
            </w:r>
          </w:p>
          <w:p w14:paraId="2AD351B9">
            <w:pPr>
              <w:spacing w:line="360" w:lineRule="auto"/>
              <w:jc w:val="both"/>
              <w:rPr>
                <w:szCs w:val="24"/>
              </w:rPr>
            </w:pPr>
          </w:p>
        </w:tc>
        <w:tc>
          <w:tcPr>
            <w:tcW w:w="4467" w:type="dxa"/>
          </w:tcPr>
          <w:p w14:paraId="6F0C290B">
            <w:pPr>
              <w:spacing w:line="360" w:lineRule="auto"/>
              <w:jc w:val="both"/>
              <w:rPr>
                <w:szCs w:val="24"/>
              </w:rPr>
            </w:pPr>
            <w:r>
              <w:rPr>
                <w:color w:val="1C1D1F"/>
                <w:szCs w:val="24"/>
              </w:rPr>
              <w:t>系统需按照《医院信息系统功能基本规范》、《电子病历系统功能规范（试行）》、《电子病历系统功能应用水平分级评价方法及标准（试行）》等相关行业规范及医院实际需求，对病历单据名称、字段名称、字段值进行规范化处理，形成形式标准、命名规范的病历数据模型，准确率和召回率不低于95%。</w:t>
            </w:r>
          </w:p>
        </w:tc>
      </w:tr>
      <w:tr w14:paraId="2F23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tcPr>
          <w:p w14:paraId="77FA2C71">
            <w:pPr>
              <w:spacing w:line="360" w:lineRule="auto"/>
              <w:jc w:val="both"/>
              <w:rPr>
                <w:szCs w:val="24"/>
              </w:rPr>
            </w:pPr>
          </w:p>
        </w:tc>
        <w:tc>
          <w:tcPr>
            <w:tcW w:w="1701" w:type="dxa"/>
          </w:tcPr>
          <w:p w14:paraId="6062CCE0">
            <w:pPr>
              <w:spacing w:line="360" w:lineRule="auto"/>
              <w:jc w:val="both"/>
              <w:rPr>
                <w:szCs w:val="24"/>
              </w:rPr>
            </w:pPr>
          </w:p>
        </w:tc>
        <w:tc>
          <w:tcPr>
            <w:tcW w:w="1560" w:type="dxa"/>
          </w:tcPr>
          <w:p w14:paraId="3734FF7E">
            <w:pPr>
              <w:spacing w:line="360" w:lineRule="auto"/>
              <w:jc w:val="both"/>
              <w:rPr>
                <w:szCs w:val="24"/>
              </w:rPr>
            </w:pPr>
            <w:r>
              <w:rPr>
                <w:color w:val="1C1D1F"/>
                <w:szCs w:val="24"/>
              </w:rPr>
              <w:t>数据清洗</w:t>
            </w:r>
          </w:p>
          <w:p w14:paraId="3747CED4">
            <w:pPr>
              <w:spacing w:line="360" w:lineRule="auto"/>
              <w:jc w:val="both"/>
              <w:rPr>
                <w:szCs w:val="24"/>
              </w:rPr>
            </w:pPr>
          </w:p>
        </w:tc>
        <w:tc>
          <w:tcPr>
            <w:tcW w:w="4467" w:type="dxa"/>
          </w:tcPr>
          <w:p w14:paraId="6A4AFADF">
            <w:pPr>
              <w:spacing w:line="360" w:lineRule="auto"/>
              <w:jc w:val="both"/>
              <w:rPr>
                <w:szCs w:val="24"/>
              </w:rPr>
            </w:pPr>
            <w:r>
              <w:rPr>
                <w:color w:val="1C1D1F"/>
                <w:szCs w:val="24"/>
              </w:rPr>
              <w:t>需针对医院原始系统中的数据存在的各种异常的数据格式，对医院数据做格式、内容上的清洗处理。结构化数据清洗入库不低于95%，结构化数据准确率要求达到100%；非结构化数据清洗准确率不低于90%，非结构化数据清洗召回率不低于90%。</w:t>
            </w:r>
          </w:p>
        </w:tc>
      </w:tr>
      <w:tr w14:paraId="3F70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tcPr>
          <w:p w14:paraId="2BCE5EB4">
            <w:pPr>
              <w:spacing w:line="360" w:lineRule="auto"/>
              <w:jc w:val="both"/>
              <w:rPr>
                <w:szCs w:val="24"/>
              </w:rPr>
            </w:pPr>
          </w:p>
        </w:tc>
        <w:tc>
          <w:tcPr>
            <w:tcW w:w="1701" w:type="dxa"/>
          </w:tcPr>
          <w:p w14:paraId="643A1EDD">
            <w:pPr>
              <w:spacing w:line="360" w:lineRule="auto"/>
              <w:jc w:val="both"/>
              <w:rPr>
                <w:szCs w:val="24"/>
              </w:rPr>
            </w:pPr>
          </w:p>
        </w:tc>
        <w:tc>
          <w:tcPr>
            <w:tcW w:w="1560" w:type="dxa"/>
          </w:tcPr>
          <w:p w14:paraId="6C6B1AC9">
            <w:pPr>
              <w:spacing w:line="360" w:lineRule="auto"/>
              <w:jc w:val="both"/>
              <w:rPr>
                <w:szCs w:val="24"/>
              </w:rPr>
            </w:pPr>
            <w:r>
              <w:rPr>
                <w:sz w:val="21"/>
                <w:szCs w:val="21"/>
              </w:rPr>
              <w:t>▲</w:t>
            </w:r>
            <w:r>
              <w:rPr>
                <w:color w:val="1C1D1F"/>
                <w:szCs w:val="24"/>
              </w:rPr>
              <w:t>病历数据后结构化</w:t>
            </w:r>
          </w:p>
          <w:p w14:paraId="38DF17B0">
            <w:pPr>
              <w:spacing w:line="360" w:lineRule="auto"/>
              <w:jc w:val="both"/>
              <w:rPr>
                <w:szCs w:val="24"/>
              </w:rPr>
            </w:pPr>
          </w:p>
        </w:tc>
        <w:tc>
          <w:tcPr>
            <w:tcW w:w="4467" w:type="dxa"/>
          </w:tcPr>
          <w:p w14:paraId="2C2913A8">
            <w:pPr>
              <w:spacing w:line="360" w:lineRule="auto"/>
              <w:jc w:val="both"/>
              <w:rPr>
                <w:szCs w:val="24"/>
              </w:rPr>
            </w:pPr>
            <w:r>
              <w:rPr>
                <w:color w:val="1C1D1F"/>
                <w:szCs w:val="24"/>
              </w:rPr>
              <w:t>数据后结构化：采用自然语言处理技术实现对自由文本形式病历的处理，识别其中的医学实体（如，疾病、症状、体征、过敏、生活习惯、手术操作、检验、检查、检查所见、药物等）及实体属性（如，发生时间、症状诱因、症状持续时间、部位、阴阳性、过敏类型、检验指标结果、检查结果描述等），实现非结构化数据向结构化数据转换。支持的实体类型不少于10种，准确率和召回率不低于90%。</w:t>
            </w:r>
          </w:p>
        </w:tc>
      </w:tr>
    </w:tbl>
    <w:p w14:paraId="7F160E18">
      <w:pPr>
        <w:spacing w:line="360" w:lineRule="auto"/>
        <w:jc w:val="both"/>
      </w:pPr>
    </w:p>
    <w:p w14:paraId="260D1558">
      <w:pPr>
        <w:pStyle w:val="4"/>
        <w:numPr>
          <w:ilvl w:val="0"/>
          <w:numId w:val="0"/>
        </w:numPr>
        <w:spacing w:line="360" w:lineRule="auto"/>
        <w:jc w:val="both"/>
        <w:rPr>
          <w:sz w:val="24"/>
          <w:szCs w:val="24"/>
        </w:rPr>
      </w:pPr>
      <w:r>
        <w:rPr>
          <w:sz w:val="24"/>
          <w:szCs w:val="24"/>
        </w:rPr>
        <w:t>1.2</w:t>
      </w:r>
      <w:r>
        <w:rPr>
          <w:rFonts w:hint="eastAsia"/>
          <w:sz w:val="24"/>
          <w:szCs w:val="24"/>
        </w:rPr>
        <w:t>首页质控系统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0"/>
        <w:gridCol w:w="1424"/>
        <w:gridCol w:w="1043"/>
        <w:gridCol w:w="5333"/>
      </w:tblGrid>
      <w:tr w14:paraId="7ACE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shd w:val="clear" w:color="auto" w:fill="auto"/>
          </w:tcPr>
          <w:p w14:paraId="6566A48D">
            <w:pPr>
              <w:spacing w:line="360" w:lineRule="auto"/>
              <w:jc w:val="both"/>
              <w:rPr>
                <w:color w:val="000000" w:themeColor="text1"/>
                <w14:textFill>
                  <w14:solidFill>
                    <w14:schemeClr w14:val="tx1"/>
                  </w14:solidFill>
                </w14:textFill>
              </w:rPr>
            </w:pPr>
            <w:r>
              <w:rPr>
                <w:bCs/>
                <w:color w:val="000000" w:themeColor="text1"/>
                <w14:textFill>
                  <w14:solidFill>
                    <w14:schemeClr w14:val="tx1"/>
                  </w14:solidFill>
                </w14:textFill>
              </w:rPr>
              <w:t>序号</w:t>
            </w:r>
          </w:p>
        </w:tc>
        <w:tc>
          <w:tcPr>
            <w:tcW w:w="1560" w:type="dxa"/>
            <w:shd w:val="clear" w:color="auto" w:fill="auto"/>
          </w:tcPr>
          <w:p w14:paraId="3A5E553D">
            <w:pPr>
              <w:spacing w:line="360" w:lineRule="auto"/>
              <w:jc w:val="both"/>
              <w:rPr>
                <w:color w:val="000000" w:themeColor="text1"/>
                <w14:textFill>
                  <w14:solidFill>
                    <w14:schemeClr w14:val="tx1"/>
                  </w14:solidFill>
                </w14:textFill>
              </w:rPr>
            </w:pPr>
            <w:r>
              <w:rPr>
                <w:bCs/>
                <w:color w:val="000000" w:themeColor="text1"/>
                <w14:textFill>
                  <w14:solidFill>
                    <w14:schemeClr w14:val="tx1"/>
                  </w14:solidFill>
                </w14:textFill>
              </w:rPr>
              <w:t>功能</w:t>
            </w:r>
            <w:r>
              <w:rPr>
                <w:rFonts w:hint="eastAsia"/>
                <w:bCs/>
                <w:color w:val="000000" w:themeColor="text1"/>
                <w14:textFill>
                  <w14:solidFill>
                    <w14:schemeClr w14:val="tx1"/>
                  </w14:solidFill>
                </w14:textFill>
              </w:rPr>
              <w:t>名称</w:t>
            </w:r>
          </w:p>
        </w:tc>
        <w:tc>
          <w:tcPr>
            <w:tcW w:w="6938" w:type="dxa"/>
            <w:gridSpan w:val="2"/>
            <w:shd w:val="clear" w:color="auto" w:fill="auto"/>
          </w:tcPr>
          <w:p w14:paraId="0359BB28">
            <w:pPr>
              <w:spacing w:line="360" w:lineRule="auto"/>
              <w:jc w:val="both"/>
              <w:rPr>
                <w:color w:val="000000" w:themeColor="text1"/>
                <w14:textFill>
                  <w14:solidFill>
                    <w14:schemeClr w14:val="tx1"/>
                  </w14:solidFill>
                </w14:textFill>
              </w:rPr>
            </w:pPr>
            <w:r>
              <w:rPr>
                <w:bCs/>
                <w:color w:val="000000" w:themeColor="text1"/>
                <w14:textFill>
                  <w14:solidFill>
                    <w14:schemeClr w14:val="tx1"/>
                  </w14:solidFill>
                </w14:textFill>
              </w:rPr>
              <w:t>功能描述</w:t>
            </w:r>
          </w:p>
        </w:tc>
      </w:tr>
      <w:tr w14:paraId="1C06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restart"/>
            <w:shd w:val="clear" w:color="auto" w:fill="auto"/>
          </w:tcPr>
          <w:p w14:paraId="4761F26F">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1</w:t>
            </w:r>
          </w:p>
        </w:tc>
        <w:tc>
          <w:tcPr>
            <w:tcW w:w="1560" w:type="dxa"/>
            <w:vMerge w:val="restart"/>
            <w:shd w:val="clear" w:color="auto" w:fill="auto"/>
          </w:tcPr>
          <w:p w14:paraId="0F81250E">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病案质控引擎</w:t>
            </w:r>
          </w:p>
        </w:tc>
        <w:tc>
          <w:tcPr>
            <w:tcW w:w="1134" w:type="dxa"/>
            <w:vMerge w:val="restart"/>
            <w:shd w:val="clear" w:color="auto" w:fill="auto"/>
          </w:tcPr>
          <w:p w14:paraId="5B2E675C">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质控范围</w:t>
            </w:r>
          </w:p>
        </w:tc>
        <w:tc>
          <w:tcPr>
            <w:tcW w:w="5804" w:type="dxa"/>
            <w:shd w:val="clear" w:color="auto" w:fill="auto"/>
          </w:tcPr>
          <w:p w14:paraId="6AD18355">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基于门诊、住院病历、病历首页中病情变化、异常指标、治疗方案调整等关键医学行为记录的书写监测，提供各单据及字段的形式质控、基于AI认知计算的医学合理性、规范性等内涵质控引擎。</w:t>
            </w:r>
          </w:p>
        </w:tc>
      </w:tr>
      <w:tr w14:paraId="7604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2EB55C70">
            <w:pPr>
              <w:spacing w:line="360" w:lineRule="auto"/>
              <w:jc w:val="both"/>
              <w:rPr>
                <w:color w:val="000000" w:themeColor="text1"/>
                <w14:textFill>
                  <w14:solidFill>
                    <w14:schemeClr w14:val="tx1"/>
                  </w14:solidFill>
                </w14:textFill>
              </w:rPr>
            </w:pPr>
          </w:p>
        </w:tc>
        <w:tc>
          <w:tcPr>
            <w:tcW w:w="1560" w:type="dxa"/>
            <w:vMerge w:val="continue"/>
            <w:vAlign w:val="center"/>
          </w:tcPr>
          <w:p w14:paraId="3B2BAA86">
            <w:pPr>
              <w:spacing w:line="360" w:lineRule="auto"/>
              <w:jc w:val="both"/>
              <w:rPr>
                <w:color w:val="000000" w:themeColor="text1"/>
                <w14:textFill>
                  <w14:solidFill>
                    <w14:schemeClr w14:val="tx1"/>
                  </w14:solidFill>
                </w14:textFill>
              </w:rPr>
            </w:pPr>
          </w:p>
        </w:tc>
        <w:tc>
          <w:tcPr>
            <w:tcW w:w="1134" w:type="dxa"/>
            <w:vMerge w:val="continue"/>
            <w:vAlign w:val="center"/>
          </w:tcPr>
          <w:p w14:paraId="1ACCDE2B">
            <w:pPr>
              <w:spacing w:line="360" w:lineRule="auto"/>
              <w:jc w:val="both"/>
              <w:rPr>
                <w:color w:val="000000" w:themeColor="text1"/>
                <w14:textFill>
                  <w14:solidFill>
                    <w14:schemeClr w14:val="tx1"/>
                  </w14:solidFill>
                </w14:textFill>
              </w:rPr>
            </w:pPr>
          </w:p>
        </w:tc>
        <w:tc>
          <w:tcPr>
            <w:tcW w:w="5804" w:type="dxa"/>
            <w:shd w:val="clear" w:color="auto" w:fill="auto"/>
          </w:tcPr>
          <w:p w14:paraId="3551F674">
            <w:pPr>
              <w:spacing w:line="360" w:lineRule="auto"/>
              <w:jc w:val="both"/>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病案质控引擎质控范围支持的医疗单据包括：病案首页（病案端）、入院记录、出院记录、手术记录、有创操作记录、</w:t>
            </w:r>
            <w:r>
              <w:rPr>
                <w:rFonts w:hint="eastAsia"/>
                <w:highlight w:val="none"/>
                <w:lang w:val="en-US" w:eastAsia="zh-CN"/>
              </w:rPr>
              <w:t>病程记录、</w:t>
            </w:r>
            <w:r>
              <w:rPr>
                <w:color w:val="000000" w:themeColor="text1"/>
                <w:highlight w:val="none"/>
                <w14:textFill>
                  <w14:solidFill>
                    <w14:schemeClr w14:val="tx1"/>
                  </w14:solidFill>
                </w14:textFill>
              </w:rPr>
              <w:t>医嘱</w:t>
            </w:r>
            <w:r>
              <w:rPr>
                <w:rFonts w:hint="eastAsia"/>
                <w:color w:val="000000" w:themeColor="text1"/>
                <w:highlight w:val="none"/>
                <w:lang w:val="en-US" w:eastAsia="zh-CN"/>
                <w14:textFill>
                  <w14:solidFill>
                    <w14:schemeClr w14:val="tx1"/>
                  </w14:solidFill>
                </w14:textFill>
              </w:rPr>
              <w:t>等</w:t>
            </w:r>
            <w:r>
              <w:rPr>
                <w:color w:val="000000" w:themeColor="text1"/>
                <w:highlight w:val="none"/>
                <w14:textFill>
                  <w14:solidFill>
                    <w14:schemeClr w14:val="tx1"/>
                  </w14:solidFill>
                </w14:textFill>
              </w:rPr>
              <w:t>。</w:t>
            </w:r>
          </w:p>
        </w:tc>
      </w:tr>
      <w:tr w14:paraId="4D7B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01C296D3">
            <w:pPr>
              <w:spacing w:line="360" w:lineRule="auto"/>
              <w:jc w:val="both"/>
              <w:rPr>
                <w:color w:val="000000" w:themeColor="text1"/>
                <w14:textFill>
                  <w14:solidFill>
                    <w14:schemeClr w14:val="tx1"/>
                  </w14:solidFill>
                </w14:textFill>
              </w:rPr>
            </w:pPr>
          </w:p>
        </w:tc>
        <w:tc>
          <w:tcPr>
            <w:tcW w:w="1560" w:type="dxa"/>
            <w:vMerge w:val="continue"/>
            <w:vAlign w:val="center"/>
          </w:tcPr>
          <w:p w14:paraId="4A70A59B">
            <w:pPr>
              <w:spacing w:line="360" w:lineRule="auto"/>
              <w:jc w:val="both"/>
              <w:rPr>
                <w:color w:val="000000" w:themeColor="text1"/>
                <w14:textFill>
                  <w14:solidFill>
                    <w14:schemeClr w14:val="tx1"/>
                  </w14:solidFill>
                </w14:textFill>
              </w:rPr>
            </w:pPr>
          </w:p>
        </w:tc>
        <w:tc>
          <w:tcPr>
            <w:tcW w:w="1134" w:type="dxa"/>
            <w:vMerge w:val="restart"/>
            <w:shd w:val="clear" w:color="auto" w:fill="auto"/>
          </w:tcPr>
          <w:p w14:paraId="5F5616F2">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首页内涵质控</w:t>
            </w:r>
          </w:p>
        </w:tc>
        <w:tc>
          <w:tcPr>
            <w:tcW w:w="5804" w:type="dxa"/>
            <w:shd w:val="clear" w:color="auto" w:fill="auto"/>
          </w:tcPr>
          <w:p w14:paraId="44BBB60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覆盖国家卫健委发布的《绩效考核与医疗质量管理住院病案首页数据采集质量与接口标准（2020年版）》或《公立中医医院绩效考核中医病案首页数据质量与接口标准(2020版)》对病历书写的全部要求，并按照政策进行更新。</w:t>
            </w:r>
            <w:r>
              <w:rPr>
                <w:rFonts w:hint="eastAsia"/>
                <w:color w:val="000000" w:themeColor="text1"/>
                <w:highlight w:val="none"/>
                <w14:textFill>
                  <w14:solidFill>
                    <w14:schemeClr w14:val="tx1"/>
                  </w14:solidFill>
                </w14:textFill>
              </w:rPr>
              <w:t>满足国卫办医发〔2016〕24号《国家卫生计生委办公厅关于印发住院病案首页数据填写质量规范（暂行）和住院病案首页数据质量管理与控制指标（2016版）的通知》中病案首页数据质量填写规范的要求。</w:t>
            </w:r>
          </w:p>
        </w:tc>
      </w:tr>
      <w:tr w14:paraId="30F1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75C9273A">
            <w:pPr>
              <w:spacing w:line="360" w:lineRule="auto"/>
              <w:jc w:val="both"/>
              <w:rPr>
                <w:color w:val="000000" w:themeColor="text1"/>
                <w14:textFill>
                  <w14:solidFill>
                    <w14:schemeClr w14:val="tx1"/>
                  </w14:solidFill>
                </w14:textFill>
              </w:rPr>
            </w:pPr>
          </w:p>
        </w:tc>
        <w:tc>
          <w:tcPr>
            <w:tcW w:w="1560" w:type="dxa"/>
            <w:vMerge w:val="continue"/>
            <w:vAlign w:val="center"/>
          </w:tcPr>
          <w:p w14:paraId="3B856FF9">
            <w:pPr>
              <w:spacing w:line="360" w:lineRule="auto"/>
              <w:jc w:val="both"/>
              <w:rPr>
                <w:color w:val="000000" w:themeColor="text1"/>
                <w14:textFill>
                  <w14:solidFill>
                    <w14:schemeClr w14:val="tx1"/>
                  </w14:solidFill>
                </w14:textFill>
              </w:rPr>
            </w:pPr>
          </w:p>
        </w:tc>
        <w:tc>
          <w:tcPr>
            <w:tcW w:w="1134" w:type="dxa"/>
            <w:vMerge w:val="continue"/>
            <w:vAlign w:val="center"/>
          </w:tcPr>
          <w:p w14:paraId="77E986E8">
            <w:pPr>
              <w:spacing w:line="360" w:lineRule="auto"/>
              <w:jc w:val="both"/>
              <w:rPr>
                <w:color w:val="000000" w:themeColor="text1"/>
                <w14:textFill>
                  <w14:solidFill>
                    <w14:schemeClr w14:val="tx1"/>
                  </w14:solidFill>
                </w14:textFill>
              </w:rPr>
            </w:pPr>
          </w:p>
        </w:tc>
        <w:tc>
          <w:tcPr>
            <w:tcW w:w="5804" w:type="dxa"/>
            <w:shd w:val="clear" w:color="auto" w:fill="auto"/>
          </w:tcPr>
          <w:p w14:paraId="71C35E38">
            <w:pPr>
              <w:spacing w:line="360" w:lineRule="auto"/>
              <w:jc w:val="both"/>
              <w:rPr>
                <w:color w:val="000000" w:themeColor="text1"/>
                <w14:textFill>
                  <w14:solidFill>
                    <w14:schemeClr w14:val="tx1"/>
                  </w14:solidFill>
                </w14:textFill>
              </w:rPr>
            </w:pPr>
            <w:r>
              <w:rPr>
                <w:sz w:val="21"/>
                <w:szCs w:val="21"/>
              </w:rPr>
              <w:t xml:space="preserve">▲ </w:t>
            </w:r>
            <w:r>
              <w:rPr>
                <w:color w:val="000000" w:themeColor="text1"/>
                <w14:textFill>
                  <w14:solidFill>
                    <w14:schemeClr w14:val="tx1"/>
                  </w14:solidFill>
                </w14:textFill>
              </w:rPr>
              <w:t>首页-单据一致性：例如首页与其他单据相比，入出院时间填写不一致、有无药物过敏填写不一致、死亡患者尸检字段填写不一致、输血字段填写不一致等。以及通过与全病历抽取的诊断和手术操作对比，质控首页诊断和手术操作的漏填和多填。</w:t>
            </w:r>
          </w:p>
        </w:tc>
      </w:tr>
      <w:tr w14:paraId="311A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06167FDB">
            <w:pPr>
              <w:spacing w:line="360" w:lineRule="auto"/>
              <w:jc w:val="both"/>
              <w:rPr>
                <w:color w:val="000000" w:themeColor="text1"/>
                <w14:textFill>
                  <w14:solidFill>
                    <w14:schemeClr w14:val="tx1"/>
                  </w14:solidFill>
                </w14:textFill>
              </w:rPr>
            </w:pPr>
          </w:p>
        </w:tc>
        <w:tc>
          <w:tcPr>
            <w:tcW w:w="1560" w:type="dxa"/>
            <w:vMerge w:val="continue"/>
            <w:vAlign w:val="center"/>
          </w:tcPr>
          <w:p w14:paraId="1969DF2A">
            <w:pPr>
              <w:spacing w:line="360" w:lineRule="auto"/>
              <w:jc w:val="both"/>
              <w:rPr>
                <w:color w:val="000000" w:themeColor="text1"/>
                <w14:textFill>
                  <w14:solidFill>
                    <w14:schemeClr w14:val="tx1"/>
                  </w14:solidFill>
                </w14:textFill>
              </w:rPr>
            </w:pPr>
          </w:p>
        </w:tc>
        <w:tc>
          <w:tcPr>
            <w:tcW w:w="1134" w:type="dxa"/>
            <w:vMerge w:val="continue"/>
            <w:vAlign w:val="center"/>
          </w:tcPr>
          <w:p w14:paraId="0BE88486">
            <w:pPr>
              <w:spacing w:line="360" w:lineRule="auto"/>
              <w:jc w:val="both"/>
              <w:rPr>
                <w:color w:val="000000" w:themeColor="text1"/>
                <w14:textFill>
                  <w14:solidFill>
                    <w14:schemeClr w14:val="tx1"/>
                  </w14:solidFill>
                </w14:textFill>
              </w:rPr>
            </w:pPr>
          </w:p>
        </w:tc>
        <w:tc>
          <w:tcPr>
            <w:tcW w:w="5804" w:type="dxa"/>
            <w:shd w:val="clear" w:color="auto" w:fill="auto"/>
          </w:tcPr>
          <w:p w14:paraId="218E79C8">
            <w:pPr>
              <w:spacing w:line="360" w:lineRule="auto"/>
              <w:jc w:val="both"/>
              <w:rPr>
                <w:color w:val="000000" w:themeColor="text1"/>
                <w14:textFill>
                  <w14:solidFill>
                    <w14:schemeClr w14:val="tx1"/>
                  </w14:solidFill>
                </w14:textFill>
              </w:rPr>
            </w:pPr>
            <w:r>
              <w:rPr>
                <w:sz w:val="21"/>
                <w:szCs w:val="21"/>
              </w:rPr>
              <w:t xml:space="preserve">▲ </w:t>
            </w:r>
            <w:r>
              <w:rPr>
                <w:color w:val="000000" w:themeColor="text1"/>
                <w14:textFill>
                  <w14:solidFill>
                    <w14:schemeClr w14:val="tx1"/>
                  </w14:solidFill>
                </w14:textFill>
              </w:rPr>
              <w:t>基于医学知识图谱，针对入院记录-初步诊断、出院记录-出院诊断、医嘱-手术项目、手术记录-手术术式等内容，进行首页诊断及手术与全病历的一致性校验。</w:t>
            </w:r>
          </w:p>
        </w:tc>
      </w:tr>
      <w:tr w14:paraId="7ED8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25F6B77D">
            <w:pPr>
              <w:spacing w:line="360" w:lineRule="auto"/>
              <w:jc w:val="both"/>
              <w:rPr>
                <w:color w:val="000000" w:themeColor="text1"/>
                <w14:textFill>
                  <w14:solidFill>
                    <w14:schemeClr w14:val="tx1"/>
                  </w14:solidFill>
                </w14:textFill>
              </w:rPr>
            </w:pPr>
          </w:p>
        </w:tc>
        <w:tc>
          <w:tcPr>
            <w:tcW w:w="1560" w:type="dxa"/>
            <w:vMerge w:val="continue"/>
            <w:vAlign w:val="center"/>
          </w:tcPr>
          <w:p w14:paraId="3BA71C7E">
            <w:pPr>
              <w:spacing w:line="360" w:lineRule="auto"/>
              <w:jc w:val="both"/>
              <w:rPr>
                <w:color w:val="000000" w:themeColor="text1"/>
                <w14:textFill>
                  <w14:solidFill>
                    <w14:schemeClr w14:val="tx1"/>
                  </w14:solidFill>
                </w14:textFill>
              </w:rPr>
            </w:pPr>
          </w:p>
        </w:tc>
        <w:tc>
          <w:tcPr>
            <w:tcW w:w="1134" w:type="dxa"/>
            <w:shd w:val="clear" w:color="auto" w:fill="auto"/>
          </w:tcPr>
          <w:p w14:paraId="308D1659">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编码规范质控</w:t>
            </w:r>
          </w:p>
        </w:tc>
        <w:tc>
          <w:tcPr>
            <w:tcW w:w="5804" w:type="dxa"/>
            <w:shd w:val="clear" w:color="auto" w:fill="auto"/>
          </w:tcPr>
          <w:p w14:paraId="1507D2E0">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系统需要提供基于首页填写规范、医保结算清单填写规范中关于诊断及手术填写要求及编码规范的质控点，功能覆盖诊断编码的逻辑判断、不能做主诊断编码判断、互斥编码判断，编码合并提醒、另编码提醒、编码细化提醒、编码与病历特征不一致提醒等。</w:t>
            </w:r>
          </w:p>
        </w:tc>
      </w:tr>
      <w:tr w14:paraId="324B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restart"/>
            <w:shd w:val="clear" w:color="auto" w:fill="auto"/>
          </w:tcPr>
          <w:p w14:paraId="4304F0FE">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2</w:t>
            </w:r>
          </w:p>
        </w:tc>
        <w:tc>
          <w:tcPr>
            <w:tcW w:w="1560" w:type="dxa"/>
            <w:vMerge w:val="restart"/>
            <w:shd w:val="clear" w:color="auto" w:fill="auto"/>
          </w:tcPr>
          <w:p w14:paraId="558AEE2A">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质控规则配置</w:t>
            </w:r>
          </w:p>
        </w:tc>
        <w:tc>
          <w:tcPr>
            <w:tcW w:w="1134" w:type="dxa"/>
            <w:vMerge w:val="restart"/>
            <w:shd w:val="clear" w:color="auto" w:fill="auto"/>
          </w:tcPr>
          <w:p w14:paraId="6CEF1ADA">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质控点管理</w:t>
            </w:r>
          </w:p>
        </w:tc>
        <w:tc>
          <w:tcPr>
            <w:tcW w:w="5804" w:type="dxa"/>
            <w:shd w:val="clear" w:color="auto" w:fill="auto"/>
          </w:tcPr>
          <w:p w14:paraId="6F8F62BE">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展示全部质控规则，包含非编码规则和编码规则</w:t>
            </w:r>
          </w:p>
        </w:tc>
      </w:tr>
      <w:tr w14:paraId="269C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6438978A">
            <w:pPr>
              <w:spacing w:line="360" w:lineRule="auto"/>
              <w:jc w:val="both"/>
              <w:rPr>
                <w:color w:val="000000" w:themeColor="text1"/>
                <w14:textFill>
                  <w14:solidFill>
                    <w14:schemeClr w14:val="tx1"/>
                  </w14:solidFill>
                </w14:textFill>
              </w:rPr>
            </w:pPr>
          </w:p>
        </w:tc>
        <w:tc>
          <w:tcPr>
            <w:tcW w:w="1560" w:type="dxa"/>
            <w:vMerge w:val="continue"/>
            <w:vAlign w:val="center"/>
          </w:tcPr>
          <w:p w14:paraId="38B543C1">
            <w:pPr>
              <w:spacing w:line="360" w:lineRule="auto"/>
              <w:jc w:val="both"/>
              <w:rPr>
                <w:color w:val="000000" w:themeColor="text1"/>
                <w14:textFill>
                  <w14:solidFill>
                    <w14:schemeClr w14:val="tx1"/>
                  </w14:solidFill>
                </w14:textFill>
              </w:rPr>
            </w:pPr>
          </w:p>
        </w:tc>
        <w:tc>
          <w:tcPr>
            <w:tcW w:w="1134" w:type="dxa"/>
            <w:vMerge w:val="continue"/>
            <w:vAlign w:val="center"/>
          </w:tcPr>
          <w:p w14:paraId="44DA8BFD">
            <w:pPr>
              <w:spacing w:line="360" w:lineRule="auto"/>
              <w:jc w:val="both"/>
              <w:rPr>
                <w:color w:val="000000" w:themeColor="text1"/>
                <w14:textFill>
                  <w14:solidFill>
                    <w14:schemeClr w14:val="tx1"/>
                  </w14:solidFill>
                </w14:textFill>
              </w:rPr>
            </w:pPr>
          </w:p>
        </w:tc>
        <w:tc>
          <w:tcPr>
            <w:tcW w:w="5804" w:type="dxa"/>
            <w:shd w:val="clear" w:color="auto" w:fill="auto"/>
          </w:tcPr>
          <w:p w14:paraId="0403AD4D">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支持对规则的生效状态进行开启/关闭设置</w:t>
            </w:r>
          </w:p>
        </w:tc>
      </w:tr>
      <w:tr w14:paraId="522E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13A31C4D">
            <w:pPr>
              <w:spacing w:line="360" w:lineRule="auto"/>
              <w:jc w:val="both"/>
              <w:rPr>
                <w:color w:val="000000" w:themeColor="text1"/>
                <w14:textFill>
                  <w14:solidFill>
                    <w14:schemeClr w14:val="tx1"/>
                  </w14:solidFill>
                </w14:textFill>
              </w:rPr>
            </w:pPr>
          </w:p>
        </w:tc>
        <w:tc>
          <w:tcPr>
            <w:tcW w:w="1560" w:type="dxa"/>
            <w:vMerge w:val="continue"/>
            <w:vAlign w:val="center"/>
          </w:tcPr>
          <w:p w14:paraId="6EAABD82">
            <w:pPr>
              <w:spacing w:line="360" w:lineRule="auto"/>
              <w:jc w:val="both"/>
              <w:rPr>
                <w:color w:val="000000" w:themeColor="text1"/>
                <w14:textFill>
                  <w14:solidFill>
                    <w14:schemeClr w14:val="tx1"/>
                  </w14:solidFill>
                </w14:textFill>
              </w:rPr>
            </w:pPr>
          </w:p>
        </w:tc>
        <w:tc>
          <w:tcPr>
            <w:tcW w:w="1134" w:type="dxa"/>
            <w:vMerge w:val="continue"/>
            <w:vAlign w:val="center"/>
          </w:tcPr>
          <w:p w14:paraId="02E248C5">
            <w:pPr>
              <w:spacing w:line="360" w:lineRule="auto"/>
              <w:jc w:val="both"/>
              <w:rPr>
                <w:color w:val="000000" w:themeColor="text1"/>
                <w14:textFill>
                  <w14:solidFill>
                    <w14:schemeClr w14:val="tx1"/>
                  </w14:solidFill>
                </w14:textFill>
              </w:rPr>
            </w:pPr>
          </w:p>
        </w:tc>
        <w:tc>
          <w:tcPr>
            <w:tcW w:w="5804" w:type="dxa"/>
            <w:shd w:val="clear" w:color="auto" w:fill="auto"/>
          </w:tcPr>
          <w:p w14:paraId="1C54F573">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支持按照类型、状态、创建日期等对规则进行筛选和排序</w:t>
            </w:r>
          </w:p>
        </w:tc>
      </w:tr>
      <w:tr w14:paraId="0F22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702A5723">
            <w:pPr>
              <w:spacing w:line="360" w:lineRule="auto"/>
              <w:jc w:val="both"/>
              <w:rPr>
                <w:color w:val="000000" w:themeColor="text1"/>
                <w14:textFill>
                  <w14:solidFill>
                    <w14:schemeClr w14:val="tx1"/>
                  </w14:solidFill>
                </w14:textFill>
              </w:rPr>
            </w:pPr>
          </w:p>
        </w:tc>
        <w:tc>
          <w:tcPr>
            <w:tcW w:w="1560" w:type="dxa"/>
            <w:vMerge w:val="continue"/>
            <w:vAlign w:val="center"/>
          </w:tcPr>
          <w:p w14:paraId="6280D3D6">
            <w:pPr>
              <w:spacing w:line="360" w:lineRule="auto"/>
              <w:jc w:val="both"/>
              <w:rPr>
                <w:color w:val="000000" w:themeColor="text1"/>
                <w14:textFill>
                  <w14:solidFill>
                    <w14:schemeClr w14:val="tx1"/>
                  </w14:solidFill>
                </w14:textFill>
              </w:rPr>
            </w:pPr>
          </w:p>
        </w:tc>
        <w:tc>
          <w:tcPr>
            <w:tcW w:w="1134" w:type="dxa"/>
            <w:vMerge w:val="restart"/>
            <w:shd w:val="clear" w:color="auto" w:fill="auto"/>
          </w:tcPr>
          <w:p w14:paraId="3A52859B">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评分管理</w:t>
            </w:r>
          </w:p>
        </w:tc>
        <w:tc>
          <w:tcPr>
            <w:tcW w:w="5804" w:type="dxa"/>
            <w:shd w:val="clear" w:color="auto" w:fill="auto"/>
          </w:tcPr>
          <w:p w14:paraId="43F18070">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支持管理者根据医院实际需求，配置个性化评分标准</w:t>
            </w:r>
          </w:p>
        </w:tc>
      </w:tr>
      <w:tr w14:paraId="16CA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71A0A55D">
            <w:pPr>
              <w:spacing w:line="360" w:lineRule="auto"/>
              <w:jc w:val="both"/>
              <w:rPr>
                <w:color w:val="000000" w:themeColor="text1"/>
                <w14:textFill>
                  <w14:solidFill>
                    <w14:schemeClr w14:val="tx1"/>
                  </w14:solidFill>
                </w14:textFill>
              </w:rPr>
            </w:pPr>
          </w:p>
        </w:tc>
        <w:tc>
          <w:tcPr>
            <w:tcW w:w="1560" w:type="dxa"/>
            <w:vMerge w:val="continue"/>
            <w:vAlign w:val="center"/>
          </w:tcPr>
          <w:p w14:paraId="533C4B3C">
            <w:pPr>
              <w:spacing w:line="360" w:lineRule="auto"/>
              <w:jc w:val="both"/>
              <w:rPr>
                <w:color w:val="000000" w:themeColor="text1"/>
                <w14:textFill>
                  <w14:solidFill>
                    <w14:schemeClr w14:val="tx1"/>
                  </w14:solidFill>
                </w14:textFill>
              </w:rPr>
            </w:pPr>
          </w:p>
        </w:tc>
        <w:tc>
          <w:tcPr>
            <w:tcW w:w="1134" w:type="dxa"/>
            <w:vMerge w:val="continue"/>
            <w:vAlign w:val="center"/>
          </w:tcPr>
          <w:p w14:paraId="3C097A1D">
            <w:pPr>
              <w:spacing w:line="360" w:lineRule="auto"/>
              <w:jc w:val="both"/>
              <w:rPr>
                <w:color w:val="000000" w:themeColor="text1"/>
                <w14:textFill>
                  <w14:solidFill>
                    <w14:schemeClr w14:val="tx1"/>
                  </w14:solidFill>
                </w14:textFill>
              </w:rPr>
            </w:pPr>
          </w:p>
        </w:tc>
        <w:tc>
          <w:tcPr>
            <w:tcW w:w="5804" w:type="dxa"/>
            <w:shd w:val="clear" w:color="auto" w:fill="auto"/>
          </w:tcPr>
          <w:p w14:paraId="5846065D">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支持设置不同评分标准下病历等级分数区间和病历提交约束</w:t>
            </w:r>
          </w:p>
        </w:tc>
      </w:tr>
      <w:tr w14:paraId="02BF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432FB644">
            <w:pPr>
              <w:spacing w:line="360" w:lineRule="auto"/>
              <w:jc w:val="both"/>
              <w:rPr>
                <w:color w:val="000000" w:themeColor="text1"/>
                <w14:textFill>
                  <w14:solidFill>
                    <w14:schemeClr w14:val="tx1"/>
                  </w14:solidFill>
                </w14:textFill>
              </w:rPr>
            </w:pPr>
          </w:p>
        </w:tc>
        <w:tc>
          <w:tcPr>
            <w:tcW w:w="1560" w:type="dxa"/>
            <w:vMerge w:val="continue"/>
            <w:vAlign w:val="center"/>
          </w:tcPr>
          <w:p w14:paraId="6D831DBA">
            <w:pPr>
              <w:spacing w:line="360" w:lineRule="auto"/>
              <w:jc w:val="both"/>
              <w:rPr>
                <w:color w:val="000000" w:themeColor="text1"/>
                <w14:textFill>
                  <w14:solidFill>
                    <w14:schemeClr w14:val="tx1"/>
                  </w14:solidFill>
                </w14:textFill>
              </w:rPr>
            </w:pPr>
          </w:p>
        </w:tc>
        <w:tc>
          <w:tcPr>
            <w:tcW w:w="1134" w:type="dxa"/>
            <w:vMerge w:val="continue"/>
            <w:vAlign w:val="center"/>
          </w:tcPr>
          <w:p w14:paraId="60AAF39B">
            <w:pPr>
              <w:spacing w:line="360" w:lineRule="auto"/>
              <w:jc w:val="both"/>
              <w:rPr>
                <w:color w:val="000000" w:themeColor="text1"/>
                <w14:textFill>
                  <w14:solidFill>
                    <w14:schemeClr w14:val="tx1"/>
                  </w14:solidFill>
                </w14:textFill>
              </w:rPr>
            </w:pPr>
          </w:p>
        </w:tc>
        <w:tc>
          <w:tcPr>
            <w:tcW w:w="5804" w:type="dxa"/>
            <w:shd w:val="clear" w:color="auto" w:fill="auto"/>
          </w:tcPr>
          <w:p w14:paraId="676DCA38">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支持设置不同评分标准下的评分项目组、评分内容、包含质控点和生效科室</w:t>
            </w:r>
          </w:p>
        </w:tc>
      </w:tr>
      <w:tr w14:paraId="60F2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0F8A97C5">
            <w:pPr>
              <w:spacing w:line="360" w:lineRule="auto"/>
              <w:jc w:val="both"/>
              <w:rPr>
                <w:color w:val="000000" w:themeColor="text1"/>
                <w14:textFill>
                  <w14:solidFill>
                    <w14:schemeClr w14:val="tx1"/>
                  </w14:solidFill>
                </w14:textFill>
              </w:rPr>
            </w:pPr>
          </w:p>
        </w:tc>
        <w:tc>
          <w:tcPr>
            <w:tcW w:w="1560" w:type="dxa"/>
            <w:vMerge w:val="continue"/>
            <w:vAlign w:val="center"/>
          </w:tcPr>
          <w:p w14:paraId="432A068D">
            <w:pPr>
              <w:spacing w:line="360" w:lineRule="auto"/>
              <w:jc w:val="both"/>
              <w:rPr>
                <w:color w:val="000000" w:themeColor="text1"/>
                <w14:textFill>
                  <w14:solidFill>
                    <w14:schemeClr w14:val="tx1"/>
                  </w14:solidFill>
                </w14:textFill>
              </w:rPr>
            </w:pPr>
          </w:p>
        </w:tc>
        <w:tc>
          <w:tcPr>
            <w:tcW w:w="1134" w:type="dxa"/>
            <w:vMerge w:val="continue"/>
            <w:vAlign w:val="center"/>
          </w:tcPr>
          <w:p w14:paraId="35BFDCA6">
            <w:pPr>
              <w:spacing w:line="360" w:lineRule="auto"/>
              <w:jc w:val="both"/>
              <w:rPr>
                <w:color w:val="000000" w:themeColor="text1"/>
                <w14:textFill>
                  <w14:solidFill>
                    <w14:schemeClr w14:val="tx1"/>
                  </w14:solidFill>
                </w14:textFill>
              </w:rPr>
            </w:pPr>
          </w:p>
        </w:tc>
        <w:tc>
          <w:tcPr>
            <w:tcW w:w="5804" w:type="dxa"/>
            <w:shd w:val="clear" w:color="auto" w:fill="auto"/>
          </w:tcPr>
          <w:p w14:paraId="5784B13E">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支持设置扣分上限和扣分方式，如按项扣分、按次扣分、单否等</w:t>
            </w:r>
          </w:p>
        </w:tc>
      </w:tr>
      <w:tr w14:paraId="2E74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restart"/>
            <w:shd w:val="clear" w:color="auto" w:fill="auto"/>
          </w:tcPr>
          <w:p w14:paraId="5CD64A10">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3</w:t>
            </w:r>
          </w:p>
        </w:tc>
        <w:tc>
          <w:tcPr>
            <w:tcW w:w="1560" w:type="dxa"/>
            <w:vMerge w:val="restart"/>
            <w:shd w:val="clear" w:color="auto" w:fill="auto"/>
          </w:tcPr>
          <w:p w14:paraId="3011B458">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病案首页质控</w:t>
            </w:r>
          </w:p>
        </w:tc>
        <w:tc>
          <w:tcPr>
            <w:tcW w:w="1134" w:type="dxa"/>
            <w:vMerge w:val="restart"/>
            <w:shd w:val="clear" w:color="auto" w:fill="auto"/>
          </w:tcPr>
          <w:p w14:paraId="74B96E5D">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首页形式质控</w:t>
            </w:r>
          </w:p>
        </w:tc>
        <w:tc>
          <w:tcPr>
            <w:tcW w:w="5804" w:type="dxa"/>
            <w:shd w:val="clear" w:color="auto" w:fill="auto"/>
          </w:tcPr>
          <w:p w14:paraId="1D85B53A">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支持病案首页完整性质控，包括首页必填项和条件必填项的完整</w:t>
            </w:r>
            <w:r>
              <w:rPr>
                <w:color w:val="000000" w:themeColor="text1"/>
                <w:highlight w:val="none"/>
                <w14:textFill>
                  <w14:solidFill>
                    <w14:schemeClr w14:val="tx1"/>
                  </w14:solidFill>
                </w14:textFill>
              </w:rPr>
              <w:t>性审核，涵盖该患者病历全部过程中的详细信息模块</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包含有病程记录</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。例如：【损伤、中毒外部原因编</w:t>
            </w:r>
            <w:r>
              <w:rPr>
                <w:color w:val="000000" w:themeColor="text1"/>
                <w14:textFill>
                  <w14:solidFill>
                    <w14:schemeClr w14:val="tx1"/>
                  </w14:solidFill>
                </w14:textFill>
              </w:rPr>
              <w:t>码】在主要诊断包含【S00-T98】编码时未填写；主要诊断为肿瘤编码时【病理诊断编码】未填写；有手术费用未填写手术操作编码；【颅脑损伤患者昏迷时间】应填未填写等。</w:t>
            </w:r>
          </w:p>
        </w:tc>
      </w:tr>
      <w:tr w14:paraId="7827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0145E045">
            <w:pPr>
              <w:spacing w:line="360" w:lineRule="auto"/>
              <w:jc w:val="both"/>
              <w:rPr>
                <w:color w:val="000000" w:themeColor="text1"/>
                <w14:textFill>
                  <w14:solidFill>
                    <w14:schemeClr w14:val="tx1"/>
                  </w14:solidFill>
                </w14:textFill>
              </w:rPr>
            </w:pPr>
          </w:p>
        </w:tc>
        <w:tc>
          <w:tcPr>
            <w:tcW w:w="1560" w:type="dxa"/>
            <w:vMerge w:val="continue"/>
            <w:vAlign w:val="center"/>
          </w:tcPr>
          <w:p w14:paraId="46027F2B">
            <w:pPr>
              <w:spacing w:line="360" w:lineRule="auto"/>
              <w:jc w:val="both"/>
              <w:rPr>
                <w:color w:val="000000" w:themeColor="text1"/>
                <w14:textFill>
                  <w14:solidFill>
                    <w14:schemeClr w14:val="tx1"/>
                  </w14:solidFill>
                </w14:textFill>
              </w:rPr>
            </w:pPr>
          </w:p>
        </w:tc>
        <w:tc>
          <w:tcPr>
            <w:tcW w:w="1134" w:type="dxa"/>
            <w:vMerge w:val="continue"/>
            <w:vAlign w:val="center"/>
          </w:tcPr>
          <w:p w14:paraId="47ED98E5">
            <w:pPr>
              <w:spacing w:line="360" w:lineRule="auto"/>
              <w:jc w:val="both"/>
              <w:rPr>
                <w:color w:val="000000" w:themeColor="text1"/>
                <w14:textFill>
                  <w14:solidFill>
                    <w14:schemeClr w14:val="tx1"/>
                  </w14:solidFill>
                </w14:textFill>
              </w:rPr>
            </w:pPr>
          </w:p>
        </w:tc>
        <w:tc>
          <w:tcPr>
            <w:tcW w:w="5804" w:type="dxa"/>
            <w:shd w:val="clear" w:color="auto" w:fill="auto"/>
          </w:tcPr>
          <w:p w14:paraId="07E9B485">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病案首页规范性质控，包括字段填写是否在规定值域范围、填写是否符合行业规范的规定等。例如：【医疗付费方式】不在值域范围；诊断或手术操作编码不在指定ICD-10编码库范围；【出院诊断编码】为分娩且未流产时，【出院其他诊断编码】必须有分娩结局等。</w:t>
            </w:r>
          </w:p>
        </w:tc>
      </w:tr>
      <w:tr w14:paraId="7DF4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49574133">
            <w:pPr>
              <w:spacing w:line="360" w:lineRule="auto"/>
              <w:jc w:val="both"/>
              <w:rPr>
                <w:color w:val="000000" w:themeColor="text1"/>
                <w14:textFill>
                  <w14:solidFill>
                    <w14:schemeClr w14:val="tx1"/>
                  </w14:solidFill>
                </w14:textFill>
              </w:rPr>
            </w:pPr>
          </w:p>
        </w:tc>
        <w:tc>
          <w:tcPr>
            <w:tcW w:w="1560" w:type="dxa"/>
            <w:vMerge w:val="continue"/>
            <w:vAlign w:val="center"/>
          </w:tcPr>
          <w:p w14:paraId="343E47AC">
            <w:pPr>
              <w:spacing w:line="360" w:lineRule="auto"/>
              <w:jc w:val="both"/>
              <w:rPr>
                <w:color w:val="000000" w:themeColor="text1"/>
                <w14:textFill>
                  <w14:solidFill>
                    <w14:schemeClr w14:val="tx1"/>
                  </w14:solidFill>
                </w14:textFill>
              </w:rPr>
            </w:pPr>
          </w:p>
        </w:tc>
        <w:tc>
          <w:tcPr>
            <w:tcW w:w="1134" w:type="dxa"/>
            <w:vMerge w:val="continue"/>
            <w:vAlign w:val="center"/>
          </w:tcPr>
          <w:p w14:paraId="728F3E28">
            <w:pPr>
              <w:spacing w:line="360" w:lineRule="auto"/>
              <w:jc w:val="both"/>
              <w:rPr>
                <w:color w:val="000000" w:themeColor="text1"/>
                <w14:textFill>
                  <w14:solidFill>
                    <w14:schemeClr w14:val="tx1"/>
                  </w14:solidFill>
                </w14:textFill>
              </w:rPr>
            </w:pPr>
          </w:p>
        </w:tc>
        <w:tc>
          <w:tcPr>
            <w:tcW w:w="5804" w:type="dxa"/>
            <w:shd w:val="clear" w:color="auto" w:fill="auto"/>
          </w:tcPr>
          <w:p w14:paraId="4BF29337">
            <w:pPr>
              <w:spacing w:line="360" w:lineRule="auto"/>
              <w:jc w:val="both"/>
              <w:rPr>
                <w:rFonts w:hint="eastAsia" w:eastAsia="宋体"/>
                <w:color w:val="000000" w:themeColor="text1"/>
                <w:highlight w:val="none"/>
                <w:lang w:val="en-US" w:eastAsia="zh-CN"/>
                <w14:textFill>
                  <w14:solidFill>
                    <w14:schemeClr w14:val="tx1"/>
                  </w14:solidFill>
                </w14:textFill>
              </w:rPr>
            </w:pPr>
            <w:r>
              <w:rPr>
                <w:color w:val="000000" w:themeColor="text1"/>
                <w14:textFill>
                  <w14:solidFill>
                    <w14:schemeClr w14:val="tx1"/>
                  </w14:solidFill>
                </w14:textFill>
              </w:rPr>
              <w:t>支持病案首页合理性质控，包括单个字段填写合理性判断以及首页字段间的逻辑校验。例如：【新生儿出生体重】填写不合理；【年龄（岁）】与【新生儿入院体重】矛盾；【出院主要诊断编码】为新生</w:t>
            </w:r>
            <w:r>
              <w:rPr>
                <w:color w:val="000000" w:themeColor="text1"/>
                <w:highlight w:val="none"/>
                <w14:textFill>
                  <w14:solidFill>
                    <w14:schemeClr w14:val="tx1"/>
                  </w14:solidFill>
                </w14:textFill>
              </w:rPr>
              <w:t>儿产伤时，【入院时间】或【出生日期】填写错误；【总费用】不等于分项费用之和等。</w:t>
            </w:r>
          </w:p>
          <w:p w14:paraId="2B3F7A7B">
            <w:pPr>
              <w:widowControl w:val="0"/>
              <w:numPr>
                <w:ilvl w:val="0"/>
                <w:numId w:val="0"/>
              </w:numPr>
              <w:ind w:leftChars="0"/>
              <w:rPr>
                <w:rFonts w:hint="default" w:eastAsia="宋体"/>
                <w:color w:val="000000" w:themeColor="text1"/>
                <w:lang w:val="en-US" w:eastAsia="zh-CN"/>
                <w14:textFill>
                  <w14:solidFill>
                    <w14:schemeClr w14:val="tx1"/>
                  </w14:solidFill>
                </w14:textFill>
              </w:rPr>
            </w:pPr>
            <w:r>
              <w:rPr>
                <w:rFonts w:hint="eastAsia"/>
                <w:color w:val="000000" w:themeColor="text1"/>
                <w:highlight w:val="none"/>
                <w14:textFill>
                  <w14:solidFill>
                    <w14:schemeClr w14:val="tx1"/>
                  </w14:solidFill>
                </w14:textFill>
              </w:rPr>
              <w:t>诊断合规性规则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w:t>
            </w:r>
            <w:r>
              <w:rPr>
                <w:rFonts w:hint="eastAsia"/>
                <w:color w:val="000000" w:themeColor="text1"/>
                <w:highlight w:val="none"/>
                <w14:textFill>
                  <w14:solidFill>
                    <w14:schemeClr w14:val="tx1"/>
                  </w14:solidFill>
                </w14:textFill>
              </w:rPr>
              <w:t>病案首页贫血未明确分度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病案首页电解质紊乱诊断不明确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病案首页心律失常诊断未明确分类</w:t>
            </w:r>
            <w:r>
              <w:rPr>
                <w:rFonts w:hint="eastAsia"/>
                <w:color w:val="000000" w:themeColor="text1"/>
                <w:highlight w:val="none"/>
                <w:lang w:val="en-US" w:eastAsia="zh-CN"/>
                <w14:textFill>
                  <w14:solidFill>
                    <w14:schemeClr w14:val="tx1"/>
                  </w14:solidFill>
                </w14:textFill>
              </w:rPr>
              <w:t>等等</w:t>
            </w:r>
          </w:p>
        </w:tc>
      </w:tr>
      <w:tr w14:paraId="1822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19ADF43A">
            <w:pPr>
              <w:spacing w:line="360" w:lineRule="auto"/>
              <w:jc w:val="both"/>
              <w:rPr>
                <w:color w:val="000000" w:themeColor="text1"/>
                <w14:textFill>
                  <w14:solidFill>
                    <w14:schemeClr w14:val="tx1"/>
                  </w14:solidFill>
                </w14:textFill>
              </w:rPr>
            </w:pPr>
          </w:p>
        </w:tc>
        <w:tc>
          <w:tcPr>
            <w:tcW w:w="1560" w:type="dxa"/>
            <w:vMerge w:val="continue"/>
            <w:vAlign w:val="center"/>
          </w:tcPr>
          <w:p w14:paraId="60186673">
            <w:pPr>
              <w:spacing w:line="360" w:lineRule="auto"/>
              <w:jc w:val="both"/>
              <w:rPr>
                <w:color w:val="000000" w:themeColor="text1"/>
                <w14:textFill>
                  <w14:solidFill>
                    <w14:schemeClr w14:val="tx1"/>
                  </w14:solidFill>
                </w14:textFill>
              </w:rPr>
            </w:pPr>
          </w:p>
        </w:tc>
        <w:tc>
          <w:tcPr>
            <w:tcW w:w="1134" w:type="dxa"/>
            <w:vMerge w:val="restart"/>
            <w:shd w:val="clear" w:color="auto" w:fill="auto"/>
          </w:tcPr>
          <w:p w14:paraId="37C97D42">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首页内涵质控</w:t>
            </w:r>
          </w:p>
        </w:tc>
        <w:tc>
          <w:tcPr>
            <w:tcW w:w="5804" w:type="dxa"/>
            <w:shd w:val="clear" w:color="auto" w:fill="auto"/>
          </w:tcPr>
          <w:p w14:paraId="3FCE018E">
            <w:pPr>
              <w:spacing w:line="360" w:lineRule="auto"/>
              <w:jc w:val="both"/>
              <w:rPr>
                <w:color w:val="000000" w:themeColor="text1"/>
                <w14:textFill>
                  <w14:solidFill>
                    <w14:schemeClr w14:val="tx1"/>
                  </w14:solidFill>
                </w14:textFill>
              </w:rPr>
            </w:pPr>
            <w:r>
              <w:rPr>
                <w:sz w:val="21"/>
                <w:szCs w:val="21"/>
              </w:rPr>
              <w:t xml:space="preserve">▲ </w:t>
            </w:r>
            <w:r>
              <w:rPr>
                <w:color w:val="000000" w:themeColor="text1"/>
                <w14:textFill>
                  <w14:solidFill>
                    <w14:schemeClr w14:val="tx1"/>
                  </w14:solidFill>
                </w14:textFill>
              </w:rPr>
              <w:t>支持通过NLU、知识图谱、知识推理等能力智能分析病案内容，对病案首页和全病历进行交叉校验。针对病案首页与病历中存在的前后不一致给出提示，例如首页与其他单据相比，入出院时间填写不一致、有无药物过敏填写不一致、死亡患者尸检字段填写不一致、输血字段填写不一致等。</w:t>
            </w:r>
          </w:p>
        </w:tc>
      </w:tr>
      <w:tr w14:paraId="1F10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0D2DBD2B">
            <w:pPr>
              <w:spacing w:line="360" w:lineRule="auto"/>
              <w:jc w:val="both"/>
              <w:rPr>
                <w:color w:val="000000" w:themeColor="text1"/>
                <w14:textFill>
                  <w14:solidFill>
                    <w14:schemeClr w14:val="tx1"/>
                  </w14:solidFill>
                </w14:textFill>
              </w:rPr>
            </w:pPr>
          </w:p>
        </w:tc>
        <w:tc>
          <w:tcPr>
            <w:tcW w:w="1560" w:type="dxa"/>
            <w:vMerge w:val="continue"/>
            <w:vAlign w:val="center"/>
          </w:tcPr>
          <w:p w14:paraId="7F0A110F">
            <w:pPr>
              <w:spacing w:line="360" w:lineRule="auto"/>
              <w:jc w:val="both"/>
              <w:rPr>
                <w:color w:val="000000" w:themeColor="text1"/>
                <w14:textFill>
                  <w14:solidFill>
                    <w14:schemeClr w14:val="tx1"/>
                  </w14:solidFill>
                </w14:textFill>
              </w:rPr>
            </w:pPr>
          </w:p>
        </w:tc>
        <w:tc>
          <w:tcPr>
            <w:tcW w:w="1134" w:type="dxa"/>
            <w:vMerge w:val="continue"/>
            <w:vAlign w:val="center"/>
          </w:tcPr>
          <w:p w14:paraId="336D6284">
            <w:pPr>
              <w:spacing w:line="360" w:lineRule="auto"/>
              <w:jc w:val="both"/>
              <w:rPr>
                <w:color w:val="000000" w:themeColor="text1"/>
                <w14:textFill>
                  <w14:solidFill>
                    <w14:schemeClr w14:val="tx1"/>
                  </w14:solidFill>
                </w14:textFill>
              </w:rPr>
            </w:pPr>
          </w:p>
        </w:tc>
        <w:tc>
          <w:tcPr>
            <w:tcW w:w="5804" w:type="dxa"/>
            <w:shd w:val="clear" w:color="auto" w:fill="auto"/>
          </w:tcPr>
          <w:p w14:paraId="4CCEF4CA">
            <w:pPr>
              <w:spacing w:line="360" w:lineRule="auto"/>
              <w:jc w:val="both"/>
              <w:rPr>
                <w:color w:val="000000" w:themeColor="text1"/>
                <w14:textFill>
                  <w14:solidFill>
                    <w14:schemeClr w14:val="tx1"/>
                  </w14:solidFill>
                </w14:textFill>
              </w:rPr>
            </w:pPr>
            <w:r>
              <w:rPr>
                <w:sz w:val="21"/>
                <w:szCs w:val="21"/>
              </w:rPr>
              <w:t xml:space="preserve">▲ </w:t>
            </w:r>
            <w:r>
              <w:rPr>
                <w:color w:val="000000" w:themeColor="text1"/>
                <w14:textFill>
                  <w14:solidFill>
                    <w14:schemeClr w14:val="tx1"/>
                  </w14:solidFill>
                </w14:textFill>
              </w:rPr>
              <w:t>基于医学知识图谱，针对入院记录-初步诊断、出院记录-出院诊断、医嘱-手术项目、手术记录-手术术式等内容，进行首页诊断及手术与全病历的一致性校验。</w:t>
            </w:r>
          </w:p>
        </w:tc>
      </w:tr>
      <w:tr w14:paraId="237F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442DD929">
            <w:pPr>
              <w:spacing w:line="360" w:lineRule="auto"/>
              <w:jc w:val="both"/>
              <w:rPr>
                <w:color w:val="000000" w:themeColor="text1"/>
                <w14:textFill>
                  <w14:solidFill>
                    <w14:schemeClr w14:val="tx1"/>
                  </w14:solidFill>
                </w14:textFill>
              </w:rPr>
            </w:pPr>
          </w:p>
        </w:tc>
        <w:tc>
          <w:tcPr>
            <w:tcW w:w="1560" w:type="dxa"/>
            <w:vMerge w:val="continue"/>
            <w:vAlign w:val="center"/>
          </w:tcPr>
          <w:p w14:paraId="76268A10">
            <w:pPr>
              <w:spacing w:line="360" w:lineRule="auto"/>
              <w:jc w:val="both"/>
              <w:rPr>
                <w:color w:val="000000" w:themeColor="text1"/>
                <w14:textFill>
                  <w14:solidFill>
                    <w14:schemeClr w14:val="tx1"/>
                  </w14:solidFill>
                </w14:textFill>
              </w:rPr>
            </w:pPr>
          </w:p>
        </w:tc>
        <w:tc>
          <w:tcPr>
            <w:tcW w:w="1134" w:type="dxa"/>
            <w:vMerge w:val="restart"/>
            <w:shd w:val="clear" w:color="auto" w:fill="auto"/>
          </w:tcPr>
          <w:p w14:paraId="3F197421">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首页编码质控</w:t>
            </w:r>
          </w:p>
        </w:tc>
        <w:tc>
          <w:tcPr>
            <w:tcW w:w="5804" w:type="dxa"/>
            <w:shd w:val="clear" w:color="auto" w:fill="auto"/>
          </w:tcPr>
          <w:p w14:paraId="2A26E69E">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支持诊断和手术编码质控。</w:t>
            </w:r>
          </w:p>
        </w:tc>
      </w:tr>
      <w:tr w14:paraId="6989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2096DC7C">
            <w:pPr>
              <w:spacing w:line="360" w:lineRule="auto"/>
              <w:jc w:val="both"/>
              <w:rPr>
                <w:color w:val="000000" w:themeColor="text1"/>
                <w14:textFill>
                  <w14:solidFill>
                    <w14:schemeClr w14:val="tx1"/>
                  </w14:solidFill>
                </w14:textFill>
              </w:rPr>
            </w:pPr>
          </w:p>
        </w:tc>
        <w:tc>
          <w:tcPr>
            <w:tcW w:w="1560" w:type="dxa"/>
            <w:vMerge w:val="continue"/>
            <w:vAlign w:val="center"/>
          </w:tcPr>
          <w:p w14:paraId="020E3A6E">
            <w:pPr>
              <w:spacing w:line="360" w:lineRule="auto"/>
              <w:jc w:val="both"/>
              <w:rPr>
                <w:color w:val="000000" w:themeColor="text1"/>
                <w14:textFill>
                  <w14:solidFill>
                    <w14:schemeClr w14:val="tx1"/>
                  </w14:solidFill>
                </w14:textFill>
              </w:rPr>
            </w:pPr>
          </w:p>
        </w:tc>
        <w:tc>
          <w:tcPr>
            <w:tcW w:w="1134" w:type="dxa"/>
            <w:vMerge w:val="continue"/>
            <w:vAlign w:val="center"/>
          </w:tcPr>
          <w:p w14:paraId="0C18E1B7">
            <w:pPr>
              <w:spacing w:line="360" w:lineRule="auto"/>
              <w:jc w:val="both"/>
              <w:rPr>
                <w:color w:val="000000" w:themeColor="text1"/>
                <w14:textFill>
                  <w14:solidFill>
                    <w14:schemeClr w14:val="tx1"/>
                  </w14:solidFill>
                </w14:textFill>
              </w:rPr>
            </w:pPr>
          </w:p>
        </w:tc>
        <w:tc>
          <w:tcPr>
            <w:tcW w:w="5804" w:type="dxa"/>
            <w:shd w:val="clear" w:color="auto" w:fill="auto"/>
          </w:tcPr>
          <w:p w14:paraId="473A544E">
            <w:pPr>
              <w:spacing w:line="360" w:lineRule="auto"/>
              <w:jc w:val="both"/>
              <w:rPr>
                <w:color w:val="000000" w:themeColor="text1"/>
                <w14:textFill>
                  <w14:solidFill>
                    <w14:schemeClr w14:val="tx1"/>
                  </w14:solidFill>
                </w14:textFill>
              </w:rPr>
            </w:pPr>
            <w:r>
              <w:rPr>
                <w:sz w:val="21"/>
                <w:szCs w:val="21"/>
              </w:rPr>
              <w:t xml:space="preserve">▲ </w:t>
            </w:r>
            <w:r>
              <w:rPr>
                <w:color w:val="000000" w:themeColor="text1"/>
                <w14:textFill>
                  <w14:solidFill>
                    <w14:schemeClr w14:val="tx1"/>
                  </w14:solidFill>
                </w14:textFill>
              </w:rPr>
              <w:t>诊断编码质控：支持诊断与年龄逻辑错误、诊断与性别逻辑错误、诊断不适合作为主要诊断、诊断使用笼统编码、诊断使用残余类目、未使用合并编码等规则质控以及基于病历画像技术和诊断排序技术，对诊断漏编、诊断多编、主要诊断选择不合理等进行质控和提示。</w:t>
            </w:r>
          </w:p>
        </w:tc>
      </w:tr>
      <w:tr w14:paraId="704E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1" w:hRule="atLeast"/>
        </w:trPr>
        <w:tc>
          <w:tcPr>
            <w:tcW w:w="562" w:type="dxa"/>
            <w:vMerge w:val="continue"/>
            <w:vAlign w:val="center"/>
          </w:tcPr>
          <w:p w14:paraId="2F26A12B">
            <w:pPr>
              <w:spacing w:line="360" w:lineRule="auto"/>
              <w:jc w:val="both"/>
              <w:rPr>
                <w:color w:val="000000" w:themeColor="text1"/>
                <w14:textFill>
                  <w14:solidFill>
                    <w14:schemeClr w14:val="tx1"/>
                  </w14:solidFill>
                </w14:textFill>
              </w:rPr>
            </w:pPr>
          </w:p>
        </w:tc>
        <w:tc>
          <w:tcPr>
            <w:tcW w:w="1560" w:type="dxa"/>
            <w:vMerge w:val="continue"/>
            <w:vAlign w:val="center"/>
          </w:tcPr>
          <w:p w14:paraId="74459C36">
            <w:pPr>
              <w:spacing w:line="360" w:lineRule="auto"/>
              <w:jc w:val="both"/>
              <w:rPr>
                <w:color w:val="000000" w:themeColor="text1"/>
                <w14:textFill>
                  <w14:solidFill>
                    <w14:schemeClr w14:val="tx1"/>
                  </w14:solidFill>
                </w14:textFill>
              </w:rPr>
            </w:pPr>
          </w:p>
        </w:tc>
        <w:tc>
          <w:tcPr>
            <w:tcW w:w="1134" w:type="dxa"/>
            <w:vMerge w:val="continue"/>
            <w:vAlign w:val="center"/>
          </w:tcPr>
          <w:p w14:paraId="1E49ED02">
            <w:pPr>
              <w:spacing w:line="360" w:lineRule="auto"/>
              <w:jc w:val="both"/>
              <w:rPr>
                <w:color w:val="000000" w:themeColor="text1"/>
                <w14:textFill>
                  <w14:solidFill>
                    <w14:schemeClr w14:val="tx1"/>
                  </w14:solidFill>
                </w14:textFill>
              </w:rPr>
            </w:pPr>
          </w:p>
        </w:tc>
        <w:tc>
          <w:tcPr>
            <w:tcW w:w="5804" w:type="dxa"/>
            <w:shd w:val="clear" w:color="auto" w:fill="auto"/>
          </w:tcPr>
          <w:p w14:paraId="4104873A">
            <w:pPr>
              <w:spacing w:line="360" w:lineRule="auto"/>
              <w:jc w:val="both"/>
              <w:rPr>
                <w:color w:val="000000" w:themeColor="text1"/>
                <w14:textFill>
                  <w14:solidFill>
                    <w14:schemeClr w14:val="tx1"/>
                  </w14:solidFill>
                </w14:textFill>
              </w:rPr>
            </w:pPr>
            <w:r>
              <w:rPr>
                <w:sz w:val="21"/>
                <w:szCs w:val="21"/>
              </w:rPr>
              <w:t xml:space="preserve">▲ </w:t>
            </w:r>
            <w:r>
              <w:rPr>
                <w:color w:val="000000" w:themeColor="text1"/>
                <w14:textFill>
                  <w14:solidFill>
                    <w14:schemeClr w14:val="tx1"/>
                  </w14:solidFill>
                </w14:textFill>
              </w:rPr>
              <w:t>手术编码质控：支持手术与年龄逻辑错误、手术与性别逻辑错误、手术附加编码漏编、诊断对应手术漏编、诊断与手术不符等规则质控以及基于手术记录、医嘱和费用明细，对手术漏编、手术与收费冲突等进行质控和提示。</w:t>
            </w:r>
          </w:p>
        </w:tc>
      </w:tr>
      <w:tr w14:paraId="18E6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356FAF60">
            <w:pPr>
              <w:spacing w:line="360" w:lineRule="auto"/>
              <w:jc w:val="both"/>
              <w:rPr>
                <w:color w:val="000000" w:themeColor="text1"/>
                <w14:textFill>
                  <w14:solidFill>
                    <w14:schemeClr w14:val="tx1"/>
                  </w14:solidFill>
                </w14:textFill>
              </w:rPr>
            </w:pPr>
          </w:p>
        </w:tc>
        <w:tc>
          <w:tcPr>
            <w:tcW w:w="1560" w:type="dxa"/>
            <w:vMerge w:val="continue"/>
            <w:vAlign w:val="center"/>
          </w:tcPr>
          <w:p w14:paraId="16F77E73">
            <w:pPr>
              <w:spacing w:line="360" w:lineRule="auto"/>
              <w:jc w:val="both"/>
              <w:rPr>
                <w:color w:val="000000" w:themeColor="text1"/>
                <w14:textFill>
                  <w14:solidFill>
                    <w14:schemeClr w14:val="tx1"/>
                  </w14:solidFill>
                </w14:textFill>
              </w:rPr>
            </w:pPr>
          </w:p>
        </w:tc>
        <w:tc>
          <w:tcPr>
            <w:tcW w:w="1134" w:type="dxa"/>
            <w:vMerge w:val="restart"/>
            <w:shd w:val="clear" w:color="auto" w:fill="auto"/>
          </w:tcPr>
          <w:p w14:paraId="586B445F">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首页自动评分</w:t>
            </w:r>
          </w:p>
        </w:tc>
        <w:tc>
          <w:tcPr>
            <w:tcW w:w="5804" w:type="dxa"/>
            <w:shd w:val="clear" w:color="auto" w:fill="auto"/>
          </w:tcPr>
          <w:p w14:paraId="69BE6854">
            <w:pPr>
              <w:spacing w:line="360" w:lineRule="auto"/>
              <w:jc w:val="both"/>
              <w:rPr>
                <w:color w:val="000000" w:themeColor="text1"/>
                <w14:textFill>
                  <w14:solidFill>
                    <w14:schemeClr w14:val="tx1"/>
                  </w14:solidFill>
                </w14:textFill>
              </w:rPr>
            </w:pPr>
            <w:r>
              <w:rPr>
                <w:sz w:val="21"/>
                <w:szCs w:val="21"/>
              </w:rPr>
              <w:t xml:space="preserve">▲ </w:t>
            </w:r>
            <w:r>
              <w:rPr>
                <w:color w:val="000000" w:themeColor="text1"/>
                <w14:textFill>
                  <w14:solidFill>
                    <w14:schemeClr w14:val="tx1"/>
                  </w14:solidFill>
                </w14:textFill>
              </w:rPr>
              <w:t>支持对首页质量进行自动评分，并对扣分项目的问题进行展示，支持通过人工新增、删除等操作调整评分结果。</w:t>
            </w:r>
          </w:p>
        </w:tc>
      </w:tr>
      <w:tr w14:paraId="146E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529FA1B8">
            <w:pPr>
              <w:spacing w:line="360" w:lineRule="auto"/>
              <w:jc w:val="both"/>
              <w:rPr>
                <w:color w:val="000000" w:themeColor="text1"/>
                <w14:textFill>
                  <w14:solidFill>
                    <w14:schemeClr w14:val="tx1"/>
                  </w14:solidFill>
                </w14:textFill>
              </w:rPr>
            </w:pPr>
          </w:p>
        </w:tc>
        <w:tc>
          <w:tcPr>
            <w:tcW w:w="1560" w:type="dxa"/>
            <w:vMerge w:val="continue"/>
            <w:vAlign w:val="center"/>
          </w:tcPr>
          <w:p w14:paraId="43F26271">
            <w:pPr>
              <w:spacing w:line="360" w:lineRule="auto"/>
              <w:jc w:val="both"/>
              <w:rPr>
                <w:color w:val="000000" w:themeColor="text1"/>
                <w14:textFill>
                  <w14:solidFill>
                    <w14:schemeClr w14:val="tx1"/>
                  </w14:solidFill>
                </w14:textFill>
              </w:rPr>
            </w:pPr>
          </w:p>
        </w:tc>
        <w:tc>
          <w:tcPr>
            <w:tcW w:w="1134" w:type="dxa"/>
            <w:vMerge w:val="continue"/>
            <w:vAlign w:val="center"/>
          </w:tcPr>
          <w:p w14:paraId="688F5D2B">
            <w:pPr>
              <w:spacing w:line="360" w:lineRule="auto"/>
              <w:jc w:val="both"/>
              <w:rPr>
                <w:color w:val="000000" w:themeColor="text1"/>
                <w14:textFill>
                  <w14:solidFill>
                    <w14:schemeClr w14:val="tx1"/>
                  </w14:solidFill>
                </w14:textFill>
              </w:rPr>
            </w:pPr>
          </w:p>
        </w:tc>
        <w:tc>
          <w:tcPr>
            <w:tcW w:w="5804" w:type="dxa"/>
            <w:shd w:val="clear" w:color="auto" w:fill="auto"/>
          </w:tcPr>
          <w:p w14:paraId="2F87E0B2">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支持导出首页扣分缺陷列表。</w:t>
            </w:r>
          </w:p>
        </w:tc>
      </w:tr>
      <w:tr w14:paraId="65E5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5AB881BE">
            <w:pPr>
              <w:spacing w:line="360" w:lineRule="auto"/>
              <w:jc w:val="both"/>
              <w:rPr>
                <w:color w:val="000000" w:themeColor="text1"/>
                <w14:textFill>
                  <w14:solidFill>
                    <w14:schemeClr w14:val="tx1"/>
                  </w14:solidFill>
                </w14:textFill>
              </w:rPr>
            </w:pPr>
          </w:p>
        </w:tc>
        <w:tc>
          <w:tcPr>
            <w:tcW w:w="1560" w:type="dxa"/>
            <w:vMerge w:val="continue"/>
            <w:vAlign w:val="center"/>
          </w:tcPr>
          <w:p w14:paraId="480909C5">
            <w:pPr>
              <w:spacing w:line="360" w:lineRule="auto"/>
              <w:jc w:val="both"/>
              <w:rPr>
                <w:color w:val="000000" w:themeColor="text1"/>
                <w14:textFill>
                  <w14:solidFill>
                    <w14:schemeClr w14:val="tx1"/>
                  </w14:solidFill>
                </w14:textFill>
              </w:rPr>
            </w:pPr>
          </w:p>
        </w:tc>
        <w:tc>
          <w:tcPr>
            <w:tcW w:w="1134" w:type="dxa"/>
            <w:vMerge w:val="restart"/>
            <w:shd w:val="clear" w:color="auto" w:fill="auto"/>
          </w:tcPr>
          <w:p w14:paraId="7E3C7DD0">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个性化配置</w:t>
            </w:r>
          </w:p>
        </w:tc>
        <w:tc>
          <w:tcPr>
            <w:tcW w:w="5804" w:type="dxa"/>
            <w:shd w:val="clear" w:color="auto" w:fill="auto"/>
          </w:tcPr>
          <w:p w14:paraId="4DAE2CBC">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用户可通过复合条件进行病历/缺陷筛选，支持将常用筛选条件组保存为快捷模板，以便下次直接使用。</w:t>
            </w:r>
          </w:p>
        </w:tc>
      </w:tr>
      <w:tr w14:paraId="4A95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05B73180">
            <w:pPr>
              <w:spacing w:line="360" w:lineRule="auto"/>
              <w:jc w:val="both"/>
              <w:rPr>
                <w:color w:val="000000" w:themeColor="text1"/>
                <w14:textFill>
                  <w14:solidFill>
                    <w14:schemeClr w14:val="tx1"/>
                  </w14:solidFill>
                </w14:textFill>
              </w:rPr>
            </w:pPr>
          </w:p>
        </w:tc>
        <w:tc>
          <w:tcPr>
            <w:tcW w:w="1560" w:type="dxa"/>
            <w:vMerge w:val="continue"/>
            <w:vAlign w:val="center"/>
          </w:tcPr>
          <w:p w14:paraId="6A8BEEFC">
            <w:pPr>
              <w:spacing w:line="360" w:lineRule="auto"/>
              <w:jc w:val="both"/>
              <w:rPr>
                <w:color w:val="000000" w:themeColor="text1"/>
                <w14:textFill>
                  <w14:solidFill>
                    <w14:schemeClr w14:val="tx1"/>
                  </w14:solidFill>
                </w14:textFill>
              </w:rPr>
            </w:pPr>
          </w:p>
        </w:tc>
        <w:tc>
          <w:tcPr>
            <w:tcW w:w="1134" w:type="dxa"/>
            <w:vMerge w:val="continue"/>
            <w:vAlign w:val="center"/>
          </w:tcPr>
          <w:p w14:paraId="27FBFDF1">
            <w:pPr>
              <w:spacing w:line="360" w:lineRule="auto"/>
              <w:jc w:val="both"/>
              <w:rPr>
                <w:color w:val="000000" w:themeColor="text1"/>
                <w14:textFill>
                  <w14:solidFill>
                    <w14:schemeClr w14:val="tx1"/>
                  </w14:solidFill>
                </w14:textFill>
              </w:rPr>
            </w:pPr>
          </w:p>
        </w:tc>
        <w:tc>
          <w:tcPr>
            <w:tcW w:w="5804" w:type="dxa"/>
            <w:shd w:val="clear" w:color="auto" w:fill="auto"/>
          </w:tcPr>
          <w:p w14:paraId="18DDF18E">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用户可根据自己的工作情况，自定义设置病历/缺陷列表的表头。</w:t>
            </w:r>
          </w:p>
        </w:tc>
      </w:tr>
      <w:tr w14:paraId="5B20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restart"/>
            <w:shd w:val="clear" w:color="auto" w:fill="auto"/>
          </w:tcPr>
          <w:p w14:paraId="1FD5CAD9">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4</w:t>
            </w:r>
          </w:p>
        </w:tc>
        <w:tc>
          <w:tcPr>
            <w:tcW w:w="1560" w:type="dxa"/>
            <w:vMerge w:val="restart"/>
            <w:shd w:val="clear" w:color="auto" w:fill="auto"/>
          </w:tcPr>
          <w:p w14:paraId="3181B4A4">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首页实时质控插件</w:t>
            </w:r>
          </w:p>
        </w:tc>
        <w:tc>
          <w:tcPr>
            <w:tcW w:w="1134" w:type="dxa"/>
            <w:vMerge w:val="restart"/>
            <w:shd w:val="clear" w:color="auto" w:fill="auto"/>
          </w:tcPr>
          <w:p w14:paraId="7D5429B2">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首页实时质控插件</w:t>
            </w:r>
          </w:p>
        </w:tc>
        <w:tc>
          <w:tcPr>
            <w:tcW w:w="5804" w:type="dxa"/>
            <w:shd w:val="clear" w:color="auto" w:fill="auto"/>
          </w:tcPr>
          <w:p w14:paraId="3A4AFF4E">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编码员进行编目时，点击保存后实时质控首页缺陷（包含编码质控和非编码质控）</w:t>
            </w:r>
          </w:p>
        </w:tc>
      </w:tr>
      <w:tr w14:paraId="3733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48668180">
            <w:pPr>
              <w:spacing w:line="360" w:lineRule="auto"/>
              <w:jc w:val="both"/>
              <w:rPr>
                <w:color w:val="000000" w:themeColor="text1"/>
                <w14:textFill>
                  <w14:solidFill>
                    <w14:schemeClr w14:val="tx1"/>
                  </w14:solidFill>
                </w14:textFill>
              </w:rPr>
            </w:pPr>
          </w:p>
        </w:tc>
        <w:tc>
          <w:tcPr>
            <w:tcW w:w="1560" w:type="dxa"/>
            <w:vMerge w:val="continue"/>
            <w:vAlign w:val="center"/>
          </w:tcPr>
          <w:p w14:paraId="05D96EE3">
            <w:pPr>
              <w:spacing w:line="360" w:lineRule="auto"/>
              <w:jc w:val="both"/>
              <w:rPr>
                <w:color w:val="000000" w:themeColor="text1"/>
                <w14:textFill>
                  <w14:solidFill>
                    <w14:schemeClr w14:val="tx1"/>
                  </w14:solidFill>
                </w14:textFill>
              </w:rPr>
            </w:pPr>
          </w:p>
        </w:tc>
        <w:tc>
          <w:tcPr>
            <w:tcW w:w="1134" w:type="dxa"/>
            <w:vMerge w:val="continue"/>
            <w:vAlign w:val="center"/>
          </w:tcPr>
          <w:p w14:paraId="0B31F55C">
            <w:pPr>
              <w:spacing w:line="360" w:lineRule="auto"/>
              <w:jc w:val="both"/>
              <w:rPr>
                <w:color w:val="000000" w:themeColor="text1"/>
                <w14:textFill>
                  <w14:solidFill>
                    <w14:schemeClr w14:val="tx1"/>
                  </w14:solidFill>
                </w14:textFill>
              </w:rPr>
            </w:pPr>
          </w:p>
        </w:tc>
        <w:tc>
          <w:tcPr>
            <w:tcW w:w="5804" w:type="dxa"/>
            <w:shd w:val="clear" w:color="auto" w:fill="auto"/>
          </w:tcPr>
          <w:p w14:paraId="3D04A604">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临床医生书写病案首页时，实时进行主要诊断/手术漏填、选择错误等的质控</w:t>
            </w:r>
          </w:p>
        </w:tc>
      </w:tr>
      <w:tr w14:paraId="3E59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6B58CB88">
            <w:pPr>
              <w:spacing w:line="360" w:lineRule="auto"/>
              <w:jc w:val="both"/>
              <w:rPr>
                <w:color w:val="000000" w:themeColor="text1"/>
                <w14:textFill>
                  <w14:solidFill>
                    <w14:schemeClr w14:val="tx1"/>
                  </w14:solidFill>
                </w14:textFill>
              </w:rPr>
            </w:pPr>
          </w:p>
        </w:tc>
        <w:tc>
          <w:tcPr>
            <w:tcW w:w="1560" w:type="dxa"/>
            <w:vMerge w:val="continue"/>
            <w:vAlign w:val="center"/>
          </w:tcPr>
          <w:p w14:paraId="6E3A78EC">
            <w:pPr>
              <w:spacing w:line="360" w:lineRule="auto"/>
              <w:jc w:val="both"/>
              <w:rPr>
                <w:color w:val="000000" w:themeColor="text1"/>
                <w14:textFill>
                  <w14:solidFill>
                    <w14:schemeClr w14:val="tx1"/>
                  </w14:solidFill>
                </w14:textFill>
              </w:rPr>
            </w:pPr>
          </w:p>
        </w:tc>
        <w:tc>
          <w:tcPr>
            <w:tcW w:w="1134" w:type="dxa"/>
            <w:vMerge w:val="continue"/>
            <w:vAlign w:val="center"/>
          </w:tcPr>
          <w:p w14:paraId="67E23244">
            <w:pPr>
              <w:spacing w:line="360" w:lineRule="auto"/>
              <w:jc w:val="both"/>
              <w:rPr>
                <w:color w:val="000000" w:themeColor="text1"/>
                <w14:textFill>
                  <w14:solidFill>
                    <w14:schemeClr w14:val="tx1"/>
                  </w14:solidFill>
                </w14:textFill>
              </w:rPr>
            </w:pPr>
          </w:p>
        </w:tc>
        <w:tc>
          <w:tcPr>
            <w:tcW w:w="5804" w:type="dxa"/>
            <w:shd w:val="clear" w:color="auto" w:fill="auto"/>
          </w:tcPr>
          <w:p w14:paraId="23C753DF">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支持编码员给临床医生实时发送整改通知</w:t>
            </w:r>
          </w:p>
        </w:tc>
      </w:tr>
      <w:tr w14:paraId="05D4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restart"/>
            <w:shd w:val="clear" w:color="auto" w:fill="auto"/>
          </w:tcPr>
          <w:p w14:paraId="371CDA6A">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5</w:t>
            </w:r>
          </w:p>
        </w:tc>
        <w:tc>
          <w:tcPr>
            <w:tcW w:w="1560" w:type="dxa"/>
            <w:vMerge w:val="restart"/>
            <w:shd w:val="clear" w:color="auto" w:fill="auto"/>
          </w:tcPr>
          <w:p w14:paraId="4A86FC03">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抽样任务管理</w:t>
            </w:r>
          </w:p>
        </w:tc>
        <w:tc>
          <w:tcPr>
            <w:tcW w:w="1134" w:type="dxa"/>
            <w:vMerge w:val="restart"/>
            <w:shd w:val="clear" w:color="auto" w:fill="auto"/>
          </w:tcPr>
          <w:p w14:paraId="4AF9C504">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创建/修改任务</w:t>
            </w:r>
          </w:p>
        </w:tc>
        <w:tc>
          <w:tcPr>
            <w:tcW w:w="5804" w:type="dxa"/>
            <w:shd w:val="clear" w:color="auto" w:fill="auto"/>
          </w:tcPr>
          <w:p w14:paraId="517B34E6">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质控管理人员创建质控任务，并分配质控人员和期望完成日期。病案抽样范围支持按日期、病历评分、缺陷类型、病历类型等选取、入院诊断等进行筛选，病案抽样方式支持总数抽样、按科室、按病历类型等抽样，任务分配方式支持按原有科室、按比例分配。</w:t>
            </w:r>
          </w:p>
        </w:tc>
      </w:tr>
      <w:tr w14:paraId="2A5C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0FA4EBAB">
            <w:pPr>
              <w:spacing w:line="360" w:lineRule="auto"/>
              <w:jc w:val="both"/>
              <w:rPr>
                <w:color w:val="000000" w:themeColor="text1"/>
                <w14:textFill>
                  <w14:solidFill>
                    <w14:schemeClr w14:val="tx1"/>
                  </w14:solidFill>
                </w14:textFill>
              </w:rPr>
            </w:pPr>
          </w:p>
        </w:tc>
        <w:tc>
          <w:tcPr>
            <w:tcW w:w="1560" w:type="dxa"/>
            <w:vMerge w:val="continue"/>
            <w:vAlign w:val="center"/>
          </w:tcPr>
          <w:p w14:paraId="62894C0C">
            <w:pPr>
              <w:spacing w:line="360" w:lineRule="auto"/>
              <w:jc w:val="both"/>
              <w:rPr>
                <w:color w:val="000000" w:themeColor="text1"/>
                <w14:textFill>
                  <w14:solidFill>
                    <w14:schemeClr w14:val="tx1"/>
                  </w14:solidFill>
                </w14:textFill>
              </w:rPr>
            </w:pPr>
          </w:p>
        </w:tc>
        <w:tc>
          <w:tcPr>
            <w:tcW w:w="1134" w:type="dxa"/>
            <w:vMerge w:val="continue"/>
            <w:vAlign w:val="center"/>
          </w:tcPr>
          <w:p w14:paraId="205C3B9C">
            <w:pPr>
              <w:spacing w:line="360" w:lineRule="auto"/>
              <w:jc w:val="both"/>
              <w:rPr>
                <w:color w:val="000000" w:themeColor="text1"/>
                <w14:textFill>
                  <w14:solidFill>
                    <w14:schemeClr w14:val="tx1"/>
                  </w14:solidFill>
                </w14:textFill>
              </w:rPr>
            </w:pPr>
          </w:p>
        </w:tc>
        <w:tc>
          <w:tcPr>
            <w:tcW w:w="5804" w:type="dxa"/>
            <w:shd w:val="clear" w:color="auto" w:fill="auto"/>
          </w:tcPr>
          <w:p w14:paraId="7A8C0A24">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支持创建单次任务和定时任务，并支持对创建的任务进行任务有效期和质控员的修改</w:t>
            </w:r>
          </w:p>
        </w:tc>
      </w:tr>
      <w:tr w14:paraId="06AE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0A2A4B9C">
            <w:pPr>
              <w:spacing w:line="360" w:lineRule="auto"/>
              <w:jc w:val="both"/>
              <w:rPr>
                <w:color w:val="000000" w:themeColor="text1"/>
                <w14:textFill>
                  <w14:solidFill>
                    <w14:schemeClr w14:val="tx1"/>
                  </w14:solidFill>
                </w14:textFill>
              </w:rPr>
            </w:pPr>
          </w:p>
        </w:tc>
        <w:tc>
          <w:tcPr>
            <w:tcW w:w="1560" w:type="dxa"/>
            <w:vMerge w:val="continue"/>
            <w:vAlign w:val="center"/>
          </w:tcPr>
          <w:p w14:paraId="702562E0">
            <w:pPr>
              <w:spacing w:line="360" w:lineRule="auto"/>
              <w:jc w:val="both"/>
              <w:rPr>
                <w:color w:val="000000" w:themeColor="text1"/>
                <w14:textFill>
                  <w14:solidFill>
                    <w14:schemeClr w14:val="tx1"/>
                  </w14:solidFill>
                </w14:textFill>
              </w:rPr>
            </w:pPr>
          </w:p>
        </w:tc>
        <w:tc>
          <w:tcPr>
            <w:tcW w:w="1134" w:type="dxa"/>
            <w:shd w:val="clear" w:color="auto" w:fill="auto"/>
          </w:tcPr>
          <w:p w14:paraId="21A1A369">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执行任务</w:t>
            </w:r>
          </w:p>
        </w:tc>
        <w:tc>
          <w:tcPr>
            <w:tcW w:w="5804" w:type="dxa"/>
            <w:shd w:val="clear" w:color="auto" w:fill="auto"/>
          </w:tcPr>
          <w:p w14:paraId="622427E4">
            <w:pPr>
              <w:spacing w:line="360" w:lineRule="auto"/>
              <w:jc w:val="both"/>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质控人员收到任务后</w:t>
            </w:r>
            <w:r>
              <w:rPr>
                <w:color w:val="000000" w:themeColor="text1"/>
                <w:highlight w:val="none"/>
                <w14:textFill>
                  <w14:solidFill>
                    <w14:schemeClr w14:val="tx1"/>
                  </w14:solidFill>
                </w14:textFill>
              </w:rPr>
              <w:t>，可在</w:t>
            </w:r>
            <w:r>
              <w:rPr>
                <w:rFonts w:hint="eastAsia"/>
                <w:color w:val="000000" w:themeColor="text1"/>
                <w:highlight w:val="none"/>
                <w:lang w:val="en-US" w:eastAsia="zh-CN"/>
                <w14:textFill>
                  <w14:solidFill>
                    <w14:schemeClr w14:val="tx1"/>
                  </w14:solidFill>
                </w14:textFill>
              </w:rPr>
              <w:t>相应</w:t>
            </w:r>
            <w:r>
              <w:rPr>
                <w:color w:val="000000" w:themeColor="text1"/>
                <w:highlight w:val="none"/>
                <w14:textFill>
                  <w14:solidFill>
                    <w14:schemeClr w14:val="tx1"/>
                  </w14:solidFill>
                </w14:textFill>
              </w:rPr>
              <w:t>页面进行查看，点击后开始进行质控操作</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质控人员在质控过程中可添加系统未质控出的问题，系统质控的问题支持快速原文定位，方便人工对结果进行快速判断。</w:t>
            </w:r>
          </w:p>
        </w:tc>
      </w:tr>
      <w:tr w14:paraId="10CF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restart"/>
            <w:shd w:val="clear" w:color="auto" w:fill="auto"/>
          </w:tcPr>
          <w:p w14:paraId="7F516C87">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6</w:t>
            </w:r>
          </w:p>
        </w:tc>
        <w:tc>
          <w:tcPr>
            <w:tcW w:w="1560" w:type="dxa"/>
            <w:vMerge w:val="restart"/>
            <w:shd w:val="clear" w:color="auto" w:fill="auto"/>
          </w:tcPr>
          <w:p w14:paraId="6BD6F432">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统计分析</w:t>
            </w:r>
          </w:p>
        </w:tc>
        <w:tc>
          <w:tcPr>
            <w:tcW w:w="1134" w:type="dxa"/>
            <w:vMerge w:val="restart"/>
            <w:shd w:val="clear" w:color="auto" w:fill="auto"/>
          </w:tcPr>
          <w:p w14:paraId="626073AD">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病历首页质量统计</w:t>
            </w:r>
          </w:p>
        </w:tc>
        <w:tc>
          <w:tcPr>
            <w:tcW w:w="5804" w:type="dxa"/>
            <w:shd w:val="clear" w:color="auto" w:fill="auto"/>
          </w:tcPr>
          <w:p w14:paraId="659DD793">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支持按照全院、科室、医生查看展示统计周期内问题病案数量，包括编码问题病案数、非编码问题病案数、病案平均分、缺陷数</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电子签名完整率</w:t>
            </w:r>
            <w:r>
              <w:rPr>
                <w:color w:val="000000" w:themeColor="text1"/>
                <w14:textFill>
                  <w14:solidFill>
                    <w14:schemeClr w14:val="tx1"/>
                  </w14:solidFill>
                </w14:textFill>
              </w:rPr>
              <w:t>等</w:t>
            </w:r>
          </w:p>
        </w:tc>
      </w:tr>
      <w:tr w14:paraId="5F02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39E6B41A">
            <w:pPr>
              <w:spacing w:line="360" w:lineRule="auto"/>
              <w:jc w:val="both"/>
              <w:rPr>
                <w:color w:val="000000" w:themeColor="text1"/>
                <w14:textFill>
                  <w14:solidFill>
                    <w14:schemeClr w14:val="tx1"/>
                  </w14:solidFill>
                </w14:textFill>
              </w:rPr>
            </w:pPr>
          </w:p>
        </w:tc>
        <w:tc>
          <w:tcPr>
            <w:tcW w:w="1560" w:type="dxa"/>
            <w:vMerge w:val="continue"/>
            <w:vAlign w:val="center"/>
          </w:tcPr>
          <w:p w14:paraId="2E3C2F85">
            <w:pPr>
              <w:spacing w:line="360" w:lineRule="auto"/>
              <w:jc w:val="both"/>
              <w:rPr>
                <w:color w:val="000000" w:themeColor="text1"/>
                <w14:textFill>
                  <w14:solidFill>
                    <w14:schemeClr w14:val="tx1"/>
                  </w14:solidFill>
                </w14:textFill>
              </w:rPr>
            </w:pPr>
          </w:p>
        </w:tc>
        <w:tc>
          <w:tcPr>
            <w:tcW w:w="1134" w:type="dxa"/>
            <w:vMerge w:val="continue"/>
            <w:vAlign w:val="center"/>
          </w:tcPr>
          <w:p w14:paraId="4EF7679D">
            <w:pPr>
              <w:spacing w:line="360" w:lineRule="auto"/>
              <w:jc w:val="both"/>
              <w:rPr>
                <w:color w:val="000000" w:themeColor="text1"/>
                <w14:textFill>
                  <w14:solidFill>
                    <w14:schemeClr w14:val="tx1"/>
                  </w14:solidFill>
                </w14:textFill>
              </w:rPr>
            </w:pPr>
          </w:p>
        </w:tc>
        <w:tc>
          <w:tcPr>
            <w:tcW w:w="5804" w:type="dxa"/>
            <w:shd w:val="clear" w:color="auto" w:fill="auto"/>
          </w:tcPr>
          <w:p w14:paraId="17C6EF5D">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支持非编码问题详细缺陷的统计分析，可按照类别查看具体缺陷条目，可分别查看扣分缺陷和全病历一致性校验缺陷详情</w:t>
            </w:r>
          </w:p>
        </w:tc>
      </w:tr>
      <w:tr w14:paraId="43D8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34BC4304">
            <w:pPr>
              <w:spacing w:line="360" w:lineRule="auto"/>
              <w:jc w:val="both"/>
              <w:rPr>
                <w:color w:val="000000" w:themeColor="text1"/>
                <w14:textFill>
                  <w14:solidFill>
                    <w14:schemeClr w14:val="tx1"/>
                  </w14:solidFill>
                </w14:textFill>
              </w:rPr>
            </w:pPr>
          </w:p>
        </w:tc>
        <w:tc>
          <w:tcPr>
            <w:tcW w:w="1560" w:type="dxa"/>
            <w:vMerge w:val="continue"/>
            <w:vAlign w:val="center"/>
          </w:tcPr>
          <w:p w14:paraId="17C69E8B">
            <w:pPr>
              <w:spacing w:line="360" w:lineRule="auto"/>
              <w:jc w:val="both"/>
              <w:rPr>
                <w:color w:val="000000" w:themeColor="text1"/>
                <w14:textFill>
                  <w14:solidFill>
                    <w14:schemeClr w14:val="tx1"/>
                  </w14:solidFill>
                </w14:textFill>
              </w:rPr>
            </w:pPr>
          </w:p>
        </w:tc>
        <w:tc>
          <w:tcPr>
            <w:tcW w:w="1134" w:type="dxa"/>
            <w:vMerge w:val="continue"/>
            <w:vAlign w:val="center"/>
          </w:tcPr>
          <w:p w14:paraId="39B408D0">
            <w:pPr>
              <w:spacing w:line="360" w:lineRule="auto"/>
              <w:jc w:val="both"/>
              <w:rPr>
                <w:color w:val="000000" w:themeColor="text1"/>
                <w14:textFill>
                  <w14:solidFill>
                    <w14:schemeClr w14:val="tx1"/>
                  </w14:solidFill>
                </w14:textFill>
              </w:rPr>
            </w:pPr>
          </w:p>
        </w:tc>
        <w:tc>
          <w:tcPr>
            <w:tcW w:w="5804" w:type="dxa"/>
            <w:shd w:val="clear" w:color="auto" w:fill="auto"/>
          </w:tcPr>
          <w:p w14:paraId="429C5DE2">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支持编码问题详细缺陷的统计分析，可按照类别查看编码缺陷详情</w:t>
            </w:r>
          </w:p>
        </w:tc>
      </w:tr>
      <w:tr w14:paraId="1A7F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2F591780">
            <w:pPr>
              <w:spacing w:line="360" w:lineRule="auto"/>
              <w:jc w:val="both"/>
              <w:rPr>
                <w:color w:val="000000" w:themeColor="text1"/>
                <w14:textFill>
                  <w14:solidFill>
                    <w14:schemeClr w14:val="tx1"/>
                  </w14:solidFill>
                </w14:textFill>
              </w:rPr>
            </w:pPr>
          </w:p>
        </w:tc>
        <w:tc>
          <w:tcPr>
            <w:tcW w:w="1560" w:type="dxa"/>
            <w:vMerge w:val="continue"/>
            <w:vAlign w:val="center"/>
          </w:tcPr>
          <w:p w14:paraId="57766CC5">
            <w:pPr>
              <w:spacing w:line="360" w:lineRule="auto"/>
              <w:jc w:val="both"/>
              <w:rPr>
                <w:color w:val="000000" w:themeColor="text1"/>
                <w14:textFill>
                  <w14:solidFill>
                    <w14:schemeClr w14:val="tx1"/>
                  </w14:solidFill>
                </w14:textFill>
              </w:rPr>
            </w:pPr>
          </w:p>
        </w:tc>
        <w:tc>
          <w:tcPr>
            <w:tcW w:w="1134" w:type="dxa"/>
            <w:vMerge w:val="continue"/>
            <w:vAlign w:val="center"/>
          </w:tcPr>
          <w:p w14:paraId="72BBFBE6">
            <w:pPr>
              <w:spacing w:line="360" w:lineRule="auto"/>
              <w:jc w:val="both"/>
              <w:rPr>
                <w:color w:val="000000" w:themeColor="text1"/>
                <w14:textFill>
                  <w14:solidFill>
                    <w14:schemeClr w14:val="tx1"/>
                  </w14:solidFill>
                </w14:textFill>
              </w:rPr>
            </w:pPr>
          </w:p>
        </w:tc>
        <w:tc>
          <w:tcPr>
            <w:tcW w:w="5804" w:type="dxa"/>
            <w:shd w:val="clear" w:color="auto" w:fill="auto"/>
          </w:tcPr>
          <w:p w14:paraId="20F194E1">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支持编码员工作情况统计，以及支持查看每个编码员的top缺陷列表</w:t>
            </w:r>
          </w:p>
        </w:tc>
      </w:tr>
      <w:tr w14:paraId="03AE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3C316CAD">
            <w:pPr>
              <w:spacing w:line="360" w:lineRule="auto"/>
              <w:jc w:val="both"/>
              <w:rPr>
                <w:color w:val="000000" w:themeColor="text1"/>
                <w14:textFill>
                  <w14:solidFill>
                    <w14:schemeClr w14:val="tx1"/>
                  </w14:solidFill>
                </w14:textFill>
              </w:rPr>
            </w:pPr>
          </w:p>
        </w:tc>
        <w:tc>
          <w:tcPr>
            <w:tcW w:w="1560" w:type="dxa"/>
            <w:vMerge w:val="continue"/>
            <w:vAlign w:val="center"/>
          </w:tcPr>
          <w:p w14:paraId="2493C5D4">
            <w:pPr>
              <w:spacing w:line="360" w:lineRule="auto"/>
              <w:jc w:val="both"/>
              <w:rPr>
                <w:color w:val="000000" w:themeColor="text1"/>
                <w14:textFill>
                  <w14:solidFill>
                    <w14:schemeClr w14:val="tx1"/>
                  </w14:solidFill>
                </w14:textFill>
              </w:rPr>
            </w:pPr>
          </w:p>
        </w:tc>
        <w:tc>
          <w:tcPr>
            <w:tcW w:w="1134" w:type="dxa"/>
            <w:vMerge w:val="continue"/>
            <w:vAlign w:val="center"/>
          </w:tcPr>
          <w:p w14:paraId="3BE30272">
            <w:pPr>
              <w:spacing w:line="360" w:lineRule="auto"/>
              <w:jc w:val="both"/>
              <w:rPr>
                <w:color w:val="000000" w:themeColor="text1"/>
                <w14:textFill>
                  <w14:solidFill>
                    <w14:schemeClr w14:val="tx1"/>
                  </w14:solidFill>
                </w14:textFill>
              </w:rPr>
            </w:pPr>
          </w:p>
        </w:tc>
        <w:tc>
          <w:tcPr>
            <w:tcW w:w="5804" w:type="dxa"/>
            <w:shd w:val="clear" w:color="auto" w:fill="auto"/>
          </w:tcPr>
          <w:p w14:paraId="7DDB6A54">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支持导出统计结果</w:t>
            </w:r>
          </w:p>
        </w:tc>
      </w:tr>
      <w:tr w14:paraId="6083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restart"/>
            <w:shd w:val="clear" w:color="auto" w:fill="auto"/>
          </w:tcPr>
          <w:p w14:paraId="4CC6870A">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7</w:t>
            </w:r>
          </w:p>
        </w:tc>
        <w:tc>
          <w:tcPr>
            <w:tcW w:w="1560" w:type="dxa"/>
            <w:vMerge w:val="restart"/>
            <w:shd w:val="clear" w:color="auto" w:fill="auto"/>
          </w:tcPr>
          <w:p w14:paraId="46BB81F3">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权限管理</w:t>
            </w:r>
          </w:p>
        </w:tc>
        <w:tc>
          <w:tcPr>
            <w:tcW w:w="1134" w:type="dxa"/>
            <w:shd w:val="clear" w:color="auto" w:fill="auto"/>
          </w:tcPr>
          <w:p w14:paraId="1C46E5C1">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用户管理</w:t>
            </w:r>
          </w:p>
        </w:tc>
        <w:tc>
          <w:tcPr>
            <w:tcW w:w="5804" w:type="dxa"/>
            <w:shd w:val="clear" w:color="auto" w:fill="auto"/>
          </w:tcPr>
          <w:p w14:paraId="66CC0F75">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支持管理员对医院使用该系统的用户进行管理，包括维护用户信息（如工号、姓名、性别等）、分配角色和权限等</w:t>
            </w:r>
          </w:p>
        </w:tc>
      </w:tr>
      <w:tr w14:paraId="048F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7C3F53A2">
            <w:pPr>
              <w:spacing w:line="360" w:lineRule="auto"/>
              <w:jc w:val="both"/>
              <w:rPr>
                <w:color w:val="000000" w:themeColor="text1"/>
                <w14:textFill>
                  <w14:solidFill>
                    <w14:schemeClr w14:val="tx1"/>
                  </w14:solidFill>
                </w14:textFill>
              </w:rPr>
            </w:pPr>
          </w:p>
        </w:tc>
        <w:tc>
          <w:tcPr>
            <w:tcW w:w="1560" w:type="dxa"/>
            <w:vMerge w:val="continue"/>
            <w:vAlign w:val="center"/>
          </w:tcPr>
          <w:p w14:paraId="65FDC86C">
            <w:pPr>
              <w:spacing w:line="360" w:lineRule="auto"/>
              <w:jc w:val="both"/>
              <w:rPr>
                <w:color w:val="000000" w:themeColor="text1"/>
                <w14:textFill>
                  <w14:solidFill>
                    <w14:schemeClr w14:val="tx1"/>
                  </w14:solidFill>
                </w14:textFill>
              </w:rPr>
            </w:pPr>
          </w:p>
        </w:tc>
        <w:tc>
          <w:tcPr>
            <w:tcW w:w="1134" w:type="dxa"/>
            <w:shd w:val="clear" w:color="auto" w:fill="auto"/>
          </w:tcPr>
          <w:p w14:paraId="384F9962">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角色管理</w:t>
            </w:r>
          </w:p>
        </w:tc>
        <w:tc>
          <w:tcPr>
            <w:tcW w:w="5804" w:type="dxa"/>
            <w:shd w:val="clear" w:color="auto" w:fill="auto"/>
          </w:tcPr>
          <w:p w14:paraId="2DFC98D3">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支持预置角色（系统提供预置角色，如病案首页质控员）和权限，也支持用户自定义创建角色和权限，并分配给用户</w:t>
            </w:r>
          </w:p>
          <w:p w14:paraId="6D9788C4">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支持通过配置，实现根据角色需要，显示不同菜单、使用不同功能操作权限</w:t>
            </w:r>
          </w:p>
        </w:tc>
      </w:tr>
      <w:tr w14:paraId="468B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restart"/>
            <w:shd w:val="clear" w:color="auto" w:fill="auto"/>
          </w:tcPr>
          <w:p w14:paraId="51BDDE76">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8</w:t>
            </w:r>
          </w:p>
        </w:tc>
        <w:tc>
          <w:tcPr>
            <w:tcW w:w="1560" w:type="dxa"/>
            <w:vMerge w:val="restart"/>
            <w:shd w:val="clear" w:color="auto" w:fill="auto"/>
          </w:tcPr>
          <w:p w14:paraId="25C958EB">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账户管理</w:t>
            </w:r>
          </w:p>
        </w:tc>
        <w:tc>
          <w:tcPr>
            <w:tcW w:w="1134" w:type="dxa"/>
            <w:shd w:val="clear" w:color="auto" w:fill="auto"/>
          </w:tcPr>
          <w:p w14:paraId="02A8B048">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登录</w:t>
            </w:r>
          </w:p>
        </w:tc>
        <w:tc>
          <w:tcPr>
            <w:tcW w:w="5804" w:type="dxa"/>
            <w:shd w:val="clear" w:color="auto" w:fill="auto"/>
          </w:tcPr>
          <w:p w14:paraId="56BFB47E">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支持通过账户名、密码登录</w:t>
            </w:r>
          </w:p>
        </w:tc>
      </w:tr>
      <w:tr w14:paraId="5CB4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Merge w:val="continue"/>
            <w:vAlign w:val="center"/>
          </w:tcPr>
          <w:p w14:paraId="6D145440">
            <w:pPr>
              <w:spacing w:line="360" w:lineRule="auto"/>
              <w:jc w:val="both"/>
              <w:rPr>
                <w:color w:val="000000" w:themeColor="text1"/>
                <w14:textFill>
                  <w14:solidFill>
                    <w14:schemeClr w14:val="tx1"/>
                  </w14:solidFill>
                </w14:textFill>
              </w:rPr>
            </w:pPr>
          </w:p>
        </w:tc>
        <w:tc>
          <w:tcPr>
            <w:tcW w:w="1560" w:type="dxa"/>
            <w:vMerge w:val="continue"/>
            <w:vAlign w:val="center"/>
          </w:tcPr>
          <w:p w14:paraId="2FA68E94">
            <w:pPr>
              <w:spacing w:line="360" w:lineRule="auto"/>
              <w:jc w:val="both"/>
              <w:rPr>
                <w:color w:val="000000" w:themeColor="text1"/>
                <w14:textFill>
                  <w14:solidFill>
                    <w14:schemeClr w14:val="tx1"/>
                  </w14:solidFill>
                </w14:textFill>
              </w:rPr>
            </w:pPr>
          </w:p>
        </w:tc>
        <w:tc>
          <w:tcPr>
            <w:tcW w:w="1134" w:type="dxa"/>
            <w:shd w:val="clear" w:color="auto" w:fill="auto"/>
          </w:tcPr>
          <w:p w14:paraId="6FECE562">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修改密码</w:t>
            </w:r>
          </w:p>
        </w:tc>
        <w:tc>
          <w:tcPr>
            <w:tcW w:w="5804" w:type="dxa"/>
            <w:shd w:val="clear" w:color="auto" w:fill="auto"/>
          </w:tcPr>
          <w:p w14:paraId="5148A0B6">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支持管理员给组织成员重置、修改密码</w:t>
            </w:r>
          </w:p>
        </w:tc>
      </w:tr>
    </w:tbl>
    <w:p w14:paraId="4D0D0D5B">
      <w:pPr>
        <w:spacing w:line="360" w:lineRule="auto"/>
        <w:jc w:val="both"/>
      </w:pPr>
    </w:p>
    <w:p w14:paraId="4ED300CE">
      <w:pPr>
        <w:pStyle w:val="4"/>
        <w:numPr>
          <w:ilvl w:val="0"/>
          <w:numId w:val="0"/>
        </w:numPr>
        <w:spacing w:line="360" w:lineRule="auto"/>
        <w:jc w:val="both"/>
        <w:rPr>
          <w:sz w:val="24"/>
          <w:szCs w:val="24"/>
        </w:rPr>
      </w:pPr>
      <w:r>
        <w:rPr>
          <w:sz w:val="24"/>
          <w:szCs w:val="24"/>
        </w:rPr>
        <w:t>1.3</w:t>
      </w:r>
      <w:r>
        <w:rPr>
          <w:rFonts w:hint="eastAsia"/>
          <w:sz w:val="24"/>
          <w:szCs w:val="24"/>
        </w:rPr>
        <w:t>病历内涵质控系统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1"/>
        <w:gridCol w:w="1296"/>
        <w:gridCol w:w="814"/>
        <w:gridCol w:w="5649"/>
      </w:tblGrid>
      <w:tr w14:paraId="0DE0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shd w:val="clear" w:color="auto" w:fill="auto"/>
          </w:tcPr>
          <w:p w14:paraId="4E1E8896">
            <w:pPr>
              <w:spacing w:line="360" w:lineRule="auto"/>
              <w:jc w:val="both"/>
            </w:pPr>
            <w:r>
              <w:rPr>
                <w:bCs/>
              </w:rPr>
              <w:t>序号</w:t>
            </w:r>
          </w:p>
        </w:tc>
        <w:tc>
          <w:tcPr>
            <w:tcW w:w="1296" w:type="dxa"/>
            <w:shd w:val="clear" w:color="auto" w:fill="auto"/>
          </w:tcPr>
          <w:p w14:paraId="1CFB1761">
            <w:pPr>
              <w:spacing w:line="360" w:lineRule="auto"/>
              <w:jc w:val="both"/>
            </w:pPr>
            <w:r>
              <w:rPr>
                <w:bCs/>
              </w:rPr>
              <w:t>功能</w:t>
            </w:r>
            <w:r>
              <w:rPr>
                <w:rFonts w:hint="eastAsia"/>
                <w:bCs/>
              </w:rPr>
              <w:t>名称</w:t>
            </w:r>
          </w:p>
        </w:tc>
        <w:tc>
          <w:tcPr>
            <w:tcW w:w="6463" w:type="dxa"/>
            <w:gridSpan w:val="2"/>
            <w:shd w:val="clear" w:color="auto" w:fill="auto"/>
          </w:tcPr>
          <w:p w14:paraId="3050547D">
            <w:pPr>
              <w:spacing w:line="360" w:lineRule="auto"/>
              <w:jc w:val="both"/>
            </w:pPr>
            <w:r>
              <w:rPr>
                <w:bCs/>
              </w:rPr>
              <w:t>功能描述</w:t>
            </w:r>
          </w:p>
        </w:tc>
      </w:tr>
      <w:tr w14:paraId="7FC3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restart"/>
            <w:shd w:val="clear" w:color="auto" w:fill="auto"/>
          </w:tcPr>
          <w:p w14:paraId="1280D511">
            <w:pPr>
              <w:spacing w:line="360" w:lineRule="auto"/>
              <w:jc w:val="both"/>
            </w:pPr>
            <w:r>
              <w:t>1</w:t>
            </w:r>
          </w:p>
        </w:tc>
        <w:tc>
          <w:tcPr>
            <w:tcW w:w="1296" w:type="dxa"/>
            <w:vMerge w:val="restart"/>
            <w:shd w:val="clear" w:color="auto" w:fill="auto"/>
          </w:tcPr>
          <w:p w14:paraId="167622D9">
            <w:pPr>
              <w:spacing w:line="360" w:lineRule="auto"/>
              <w:jc w:val="both"/>
            </w:pPr>
            <w:r>
              <w:t>病历质控引擎</w:t>
            </w:r>
          </w:p>
        </w:tc>
        <w:tc>
          <w:tcPr>
            <w:tcW w:w="814" w:type="dxa"/>
            <w:vMerge w:val="restart"/>
            <w:shd w:val="clear" w:color="auto" w:fill="auto"/>
          </w:tcPr>
          <w:p w14:paraId="1096597C">
            <w:pPr>
              <w:spacing w:line="360" w:lineRule="auto"/>
              <w:jc w:val="both"/>
            </w:pPr>
            <w:r>
              <w:t>AI人工智能数据底座</w:t>
            </w:r>
          </w:p>
        </w:tc>
        <w:tc>
          <w:tcPr>
            <w:tcW w:w="5649" w:type="dxa"/>
            <w:shd w:val="clear" w:color="auto" w:fill="auto"/>
          </w:tcPr>
          <w:p w14:paraId="22040564">
            <w:pPr>
              <w:spacing w:line="360" w:lineRule="auto"/>
              <w:jc w:val="both"/>
            </w:pPr>
            <w:r>
              <w:t>医学知识来源：</w:t>
            </w:r>
          </w:p>
          <w:p w14:paraId="121CC83E">
            <w:pPr>
              <w:spacing w:line="360" w:lineRule="auto"/>
              <w:jc w:val="both"/>
            </w:pPr>
            <w:r>
              <w:rPr>
                <w:rFonts w:hint="eastAsia"/>
              </w:rPr>
              <w:t>1）</w:t>
            </w:r>
            <w:r>
              <w:t>权威行业协会、学会在国家卫生健康委员会领导和组织下发布的指南、标准和路径等；</w:t>
            </w:r>
          </w:p>
          <w:p w14:paraId="3C5BC11D">
            <w:pPr>
              <w:spacing w:line="360" w:lineRule="auto"/>
              <w:jc w:val="both"/>
            </w:pPr>
            <w:r>
              <w:t>2</w:t>
            </w:r>
            <w:r>
              <w:rPr>
                <w:rFonts w:hint="eastAsia"/>
              </w:rPr>
              <w:t>）</w:t>
            </w:r>
            <w:r>
              <w:t>国家卫生健康委员会、原国家卫计委“十二五”、“十三五”医药卫生规划教材和权威医药卫生专著；</w:t>
            </w:r>
          </w:p>
          <w:p w14:paraId="5DD2816B">
            <w:pPr>
              <w:spacing w:line="360" w:lineRule="auto"/>
              <w:jc w:val="both"/>
            </w:pPr>
            <w:r>
              <w:rPr>
                <w:rFonts w:hint="eastAsia"/>
              </w:rPr>
              <w:t>3）</w:t>
            </w:r>
            <w:r>
              <w:t>诊疗规范；</w:t>
            </w:r>
          </w:p>
          <w:p w14:paraId="2166CB85">
            <w:pPr>
              <w:spacing w:line="360" w:lineRule="auto"/>
              <w:jc w:val="both"/>
            </w:pPr>
            <w:r>
              <w:rPr>
                <w:rFonts w:hint="eastAsia"/>
              </w:rPr>
              <w:t>4）</w:t>
            </w:r>
            <w:r>
              <w:t>医学文献；</w:t>
            </w:r>
          </w:p>
          <w:p w14:paraId="5C3C3AA5">
            <w:pPr>
              <w:spacing w:line="360" w:lineRule="auto"/>
              <w:jc w:val="both"/>
            </w:pPr>
            <w:r>
              <w:rPr>
                <w:rFonts w:hint="eastAsia"/>
              </w:rPr>
              <w:t>5）</w:t>
            </w:r>
            <w:r>
              <w:t>药物说明书。</w:t>
            </w:r>
          </w:p>
        </w:tc>
      </w:tr>
      <w:tr w14:paraId="4D40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32FD3500">
            <w:pPr>
              <w:spacing w:line="360" w:lineRule="auto"/>
              <w:jc w:val="both"/>
            </w:pPr>
          </w:p>
        </w:tc>
        <w:tc>
          <w:tcPr>
            <w:tcW w:w="1296" w:type="dxa"/>
            <w:vMerge w:val="continue"/>
            <w:vAlign w:val="center"/>
          </w:tcPr>
          <w:p w14:paraId="4EF90251">
            <w:pPr>
              <w:spacing w:line="360" w:lineRule="auto"/>
              <w:jc w:val="both"/>
            </w:pPr>
          </w:p>
        </w:tc>
        <w:tc>
          <w:tcPr>
            <w:tcW w:w="814" w:type="dxa"/>
            <w:vMerge w:val="continue"/>
            <w:vAlign w:val="center"/>
          </w:tcPr>
          <w:p w14:paraId="02CB5066">
            <w:pPr>
              <w:spacing w:line="360" w:lineRule="auto"/>
              <w:jc w:val="both"/>
            </w:pPr>
          </w:p>
        </w:tc>
        <w:tc>
          <w:tcPr>
            <w:tcW w:w="5649" w:type="dxa"/>
            <w:shd w:val="clear" w:color="auto" w:fill="auto"/>
          </w:tcPr>
          <w:p w14:paraId="063A9403">
            <w:pPr>
              <w:spacing w:line="360" w:lineRule="auto"/>
              <w:jc w:val="both"/>
            </w:pPr>
            <w:r>
              <w:t>知识图谱：</w:t>
            </w:r>
          </w:p>
          <w:p w14:paraId="446DECDA">
            <w:pPr>
              <w:spacing w:line="360" w:lineRule="auto"/>
              <w:jc w:val="both"/>
            </w:pPr>
            <w:r>
              <w:t>病历质控引擎需依托国内领先的医疗知识图谱，覆盖电子病历、诊断方案、治疗方案、文献专著等医学数据，具备自动化、图谱化表达的复杂知识体系，并能实现旧知识更新和新知识补充，为质控提供知识解析、推理计算能力。</w:t>
            </w:r>
          </w:p>
        </w:tc>
      </w:tr>
      <w:tr w14:paraId="77FA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2" w:hRule="atLeast"/>
        </w:trPr>
        <w:tc>
          <w:tcPr>
            <w:tcW w:w="531" w:type="dxa"/>
            <w:vMerge w:val="continue"/>
            <w:vAlign w:val="center"/>
          </w:tcPr>
          <w:p w14:paraId="2203E969">
            <w:pPr>
              <w:spacing w:line="360" w:lineRule="auto"/>
              <w:jc w:val="both"/>
            </w:pPr>
          </w:p>
        </w:tc>
        <w:tc>
          <w:tcPr>
            <w:tcW w:w="1296" w:type="dxa"/>
            <w:vMerge w:val="continue"/>
            <w:vAlign w:val="center"/>
          </w:tcPr>
          <w:p w14:paraId="3EE26752">
            <w:pPr>
              <w:spacing w:line="360" w:lineRule="auto"/>
              <w:jc w:val="both"/>
            </w:pPr>
          </w:p>
        </w:tc>
        <w:tc>
          <w:tcPr>
            <w:tcW w:w="814" w:type="dxa"/>
            <w:vMerge w:val="continue"/>
            <w:vAlign w:val="center"/>
          </w:tcPr>
          <w:p w14:paraId="35CB6211">
            <w:pPr>
              <w:spacing w:line="360" w:lineRule="auto"/>
              <w:jc w:val="both"/>
            </w:pPr>
          </w:p>
        </w:tc>
        <w:tc>
          <w:tcPr>
            <w:tcW w:w="5649" w:type="dxa"/>
            <w:shd w:val="clear" w:color="auto" w:fill="auto"/>
          </w:tcPr>
          <w:p w14:paraId="20F5AFD1">
            <w:pPr>
              <w:spacing w:line="360" w:lineRule="auto"/>
              <w:jc w:val="both"/>
            </w:pPr>
            <w:r>
              <w:t>数据后结构化：</w:t>
            </w:r>
          </w:p>
          <w:p w14:paraId="7F416BA9">
            <w:pPr>
              <w:spacing w:line="360" w:lineRule="auto"/>
              <w:jc w:val="both"/>
              <w:rPr>
                <w:rFonts w:hint="default" w:eastAsia="宋体"/>
                <w:lang w:val="en-US" w:eastAsia="zh-CN"/>
              </w:rPr>
            </w:pPr>
            <w:r>
              <w:t>支持采用自然语言处理技术实现对自由文本形式病历的处理，可识别多种医学实体（如：疾病、症状、体征、手术、操作、检查、检验、药物、治疗等）及实体属性（如：发生时间、持续时间、部位、阴阳性、检验结果值、给药途径等），实现非结构化数据向结构化数据转换。</w:t>
            </w:r>
          </w:p>
        </w:tc>
      </w:tr>
      <w:tr w14:paraId="2741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8" w:hRule="atLeast"/>
        </w:trPr>
        <w:tc>
          <w:tcPr>
            <w:tcW w:w="531" w:type="dxa"/>
            <w:vMerge w:val="continue"/>
            <w:vAlign w:val="center"/>
          </w:tcPr>
          <w:p w14:paraId="56799213">
            <w:pPr>
              <w:spacing w:line="360" w:lineRule="auto"/>
              <w:jc w:val="both"/>
            </w:pPr>
          </w:p>
        </w:tc>
        <w:tc>
          <w:tcPr>
            <w:tcW w:w="1296" w:type="dxa"/>
            <w:vMerge w:val="continue"/>
            <w:vAlign w:val="center"/>
          </w:tcPr>
          <w:p w14:paraId="2552A787">
            <w:pPr>
              <w:spacing w:line="360" w:lineRule="auto"/>
              <w:jc w:val="both"/>
            </w:pPr>
          </w:p>
        </w:tc>
        <w:tc>
          <w:tcPr>
            <w:tcW w:w="814" w:type="dxa"/>
            <w:vMerge w:val="continue"/>
            <w:vAlign w:val="center"/>
          </w:tcPr>
          <w:p w14:paraId="51FDF98A">
            <w:pPr>
              <w:spacing w:line="360" w:lineRule="auto"/>
              <w:jc w:val="both"/>
            </w:pPr>
          </w:p>
        </w:tc>
        <w:tc>
          <w:tcPr>
            <w:tcW w:w="5649" w:type="dxa"/>
            <w:shd w:val="clear" w:color="auto" w:fill="auto"/>
          </w:tcPr>
          <w:p w14:paraId="2227758D">
            <w:pPr>
              <w:spacing w:line="360" w:lineRule="auto"/>
              <w:jc w:val="both"/>
              <w:rPr>
                <w:rFonts w:hint="eastAsia"/>
                <w:highlight w:val="yellow"/>
                <w:lang w:val="en-US" w:eastAsia="zh-CN"/>
              </w:rPr>
            </w:pPr>
            <w:r>
              <w:rPr>
                <w:rFonts w:hint="eastAsia"/>
                <w:highlight w:val="none"/>
                <w:lang w:val="en-US" w:eastAsia="zh-CN"/>
              </w:rPr>
              <w:t>对每份病历做结构化处理，初次结构化内容按医院病案管理相关科室要求，形成初次结构化数据保存在本地，供查询、利用</w:t>
            </w:r>
          </w:p>
        </w:tc>
      </w:tr>
      <w:tr w14:paraId="743B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29B902EC">
            <w:pPr>
              <w:spacing w:line="360" w:lineRule="auto"/>
              <w:jc w:val="both"/>
            </w:pPr>
          </w:p>
        </w:tc>
        <w:tc>
          <w:tcPr>
            <w:tcW w:w="1296" w:type="dxa"/>
            <w:vMerge w:val="continue"/>
            <w:vAlign w:val="center"/>
          </w:tcPr>
          <w:p w14:paraId="2B7F1F20">
            <w:pPr>
              <w:spacing w:line="360" w:lineRule="auto"/>
              <w:jc w:val="both"/>
            </w:pPr>
          </w:p>
        </w:tc>
        <w:tc>
          <w:tcPr>
            <w:tcW w:w="814" w:type="dxa"/>
            <w:vMerge w:val="restart"/>
            <w:shd w:val="clear" w:color="auto" w:fill="auto"/>
          </w:tcPr>
          <w:p w14:paraId="4E924A99">
            <w:pPr>
              <w:spacing w:line="360" w:lineRule="auto"/>
              <w:jc w:val="both"/>
            </w:pPr>
            <w:r>
              <w:t>质控范围</w:t>
            </w:r>
          </w:p>
        </w:tc>
        <w:tc>
          <w:tcPr>
            <w:tcW w:w="5649" w:type="dxa"/>
            <w:shd w:val="clear" w:color="auto" w:fill="auto"/>
          </w:tcPr>
          <w:p w14:paraId="25AF1EC9">
            <w:pPr>
              <w:spacing w:line="360" w:lineRule="auto"/>
              <w:jc w:val="both"/>
            </w:pPr>
            <w:r>
              <w:t>基于门诊、住院病历、病案首页中病情变化、异常指标、治疗方案调整等关键医学行为记录的书写监测，提供各单据及字段的形式质控、基于AI认知计算的医学合理性、规范性等内涵质控引擎。</w:t>
            </w:r>
          </w:p>
        </w:tc>
      </w:tr>
      <w:tr w14:paraId="2735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1E1549CA">
            <w:pPr>
              <w:spacing w:line="360" w:lineRule="auto"/>
              <w:jc w:val="both"/>
            </w:pPr>
          </w:p>
        </w:tc>
        <w:tc>
          <w:tcPr>
            <w:tcW w:w="1296" w:type="dxa"/>
            <w:vMerge w:val="continue"/>
            <w:vAlign w:val="center"/>
          </w:tcPr>
          <w:p w14:paraId="56453BA7">
            <w:pPr>
              <w:spacing w:line="360" w:lineRule="auto"/>
              <w:jc w:val="both"/>
            </w:pPr>
          </w:p>
        </w:tc>
        <w:tc>
          <w:tcPr>
            <w:tcW w:w="814" w:type="dxa"/>
            <w:vMerge w:val="continue"/>
            <w:vAlign w:val="center"/>
          </w:tcPr>
          <w:p w14:paraId="4C60EB34">
            <w:pPr>
              <w:spacing w:line="360" w:lineRule="auto"/>
              <w:jc w:val="both"/>
            </w:pPr>
          </w:p>
        </w:tc>
        <w:tc>
          <w:tcPr>
            <w:tcW w:w="5649" w:type="dxa"/>
            <w:shd w:val="clear" w:color="auto" w:fill="auto"/>
          </w:tcPr>
          <w:p w14:paraId="1C685839">
            <w:pPr>
              <w:spacing w:line="360" w:lineRule="auto"/>
              <w:jc w:val="both"/>
            </w:pPr>
            <w:r>
              <w:t>病历质控引擎质控范围支持的医疗单据包括：门诊病历、病案首页、入院记录、再次或多次入院记录、24小时内入出院记录、24小时内入院死亡记录、首次病程记录、日常病程记录、上级医师查房记录、疑难病例讨论记录、交班记录、接班记录、转出记录、转入记录、阶段小结、抢救记录、有创诊疗操作记录、会诊记录、术前小结、术前讨论记录、手术记录、术后首次病程记录、出院记录、死亡记录、死亡病例讨论结论记录、长期医嘱、临时医嘱、检验报告、检查报告、手术知情同意书、麻醉知情同意书、输血治疗知情同意书、病危（病重）通知书、特殊检查/特殊治疗知情同意书等单据。</w:t>
            </w:r>
          </w:p>
        </w:tc>
      </w:tr>
      <w:tr w14:paraId="74D1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28C38008">
            <w:pPr>
              <w:spacing w:line="360" w:lineRule="auto"/>
              <w:jc w:val="both"/>
            </w:pPr>
          </w:p>
        </w:tc>
        <w:tc>
          <w:tcPr>
            <w:tcW w:w="1296" w:type="dxa"/>
            <w:vMerge w:val="continue"/>
            <w:vAlign w:val="center"/>
          </w:tcPr>
          <w:p w14:paraId="27EC49E9">
            <w:pPr>
              <w:spacing w:line="360" w:lineRule="auto"/>
              <w:jc w:val="both"/>
            </w:pPr>
          </w:p>
        </w:tc>
        <w:tc>
          <w:tcPr>
            <w:tcW w:w="814" w:type="dxa"/>
            <w:vMerge w:val="restart"/>
            <w:shd w:val="clear" w:color="auto" w:fill="auto"/>
          </w:tcPr>
          <w:p w14:paraId="0CACE4BA">
            <w:pPr>
              <w:spacing w:line="360" w:lineRule="auto"/>
              <w:jc w:val="both"/>
            </w:pPr>
            <w:r>
              <w:t>基于病历书写规范的质控能力</w:t>
            </w:r>
          </w:p>
        </w:tc>
        <w:tc>
          <w:tcPr>
            <w:tcW w:w="5649" w:type="dxa"/>
            <w:shd w:val="clear" w:color="auto" w:fill="auto"/>
          </w:tcPr>
          <w:p w14:paraId="6AAF6357">
            <w:pPr>
              <w:spacing w:line="360" w:lineRule="auto"/>
              <w:jc w:val="both"/>
            </w:pPr>
            <w:r>
              <w:rPr>
                <w:sz w:val="21"/>
                <w:szCs w:val="21"/>
              </w:rPr>
              <w:t xml:space="preserve">▲ </w:t>
            </w:r>
            <w:r>
              <w:t>质控能力依据国家卫健委2010年发布的《病历书写基本规范》和国家卫健委编写的《病历书写与管理基本规范（2022年版）》对病历书写要求制定。</w:t>
            </w:r>
          </w:p>
        </w:tc>
      </w:tr>
      <w:tr w14:paraId="1DF4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455289D3">
            <w:pPr>
              <w:spacing w:line="360" w:lineRule="auto"/>
              <w:jc w:val="both"/>
            </w:pPr>
          </w:p>
        </w:tc>
        <w:tc>
          <w:tcPr>
            <w:tcW w:w="1296" w:type="dxa"/>
            <w:vMerge w:val="continue"/>
            <w:vAlign w:val="center"/>
          </w:tcPr>
          <w:p w14:paraId="681E0819">
            <w:pPr>
              <w:spacing w:line="360" w:lineRule="auto"/>
              <w:jc w:val="both"/>
            </w:pPr>
          </w:p>
        </w:tc>
        <w:tc>
          <w:tcPr>
            <w:tcW w:w="814" w:type="dxa"/>
            <w:vMerge w:val="continue"/>
            <w:vAlign w:val="center"/>
          </w:tcPr>
          <w:p w14:paraId="15FAD100">
            <w:pPr>
              <w:spacing w:line="360" w:lineRule="auto"/>
              <w:jc w:val="both"/>
            </w:pPr>
          </w:p>
        </w:tc>
        <w:tc>
          <w:tcPr>
            <w:tcW w:w="5649" w:type="dxa"/>
            <w:shd w:val="clear" w:color="auto" w:fill="auto"/>
          </w:tcPr>
          <w:p w14:paraId="1406EC7B">
            <w:pPr>
              <w:spacing w:line="360" w:lineRule="auto"/>
              <w:jc w:val="both"/>
            </w:pPr>
            <w:r>
              <w:rPr>
                <w:sz w:val="21"/>
                <w:szCs w:val="21"/>
              </w:rPr>
              <w:t xml:space="preserve">▲ </w:t>
            </w:r>
            <w:r>
              <w:t>质控能力包含医疗数据在同单据不同段落或跨单据书写的一致性分析及医学合理性校验。</w:t>
            </w:r>
          </w:p>
        </w:tc>
      </w:tr>
      <w:tr w14:paraId="662A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2" w:hRule="atLeast"/>
        </w:trPr>
        <w:tc>
          <w:tcPr>
            <w:tcW w:w="531" w:type="dxa"/>
            <w:vMerge w:val="continue"/>
            <w:vAlign w:val="center"/>
          </w:tcPr>
          <w:p w14:paraId="554B804E">
            <w:pPr>
              <w:spacing w:line="360" w:lineRule="auto"/>
              <w:jc w:val="both"/>
            </w:pPr>
          </w:p>
        </w:tc>
        <w:tc>
          <w:tcPr>
            <w:tcW w:w="1296" w:type="dxa"/>
            <w:vMerge w:val="continue"/>
            <w:vAlign w:val="center"/>
          </w:tcPr>
          <w:p w14:paraId="385FA8DC">
            <w:pPr>
              <w:spacing w:line="360" w:lineRule="auto"/>
              <w:jc w:val="both"/>
            </w:pPr>
          </w:p>
        </w:tc>
        <w:tc>
          <w:tcPr>
            <w:tcW w:w="814" w:type="dxa"/>
            <w:vMerge w:val="continue"/>
            <w:vAlign w:val="center"/>
          </w:tcPr>
          <w:p w14:paraId="3ACFBAB9">
            <w:pPr>
              <w:spacing w:line="360" w:lineRule="auto"/>
              <w:jc w:val="both"/>
            </w:pPr>
          </w:p>
        </w:tc>
        <w:tc>
          <w:tcPr>
            <w:tcW w:w="5649" w:type="dxa"/>
            <w:shd w:val="clear" w:color="auto" w:fill="auto"/>
          </w:tcPr>
          <w:p w14:paraId="09DF2167">
            <w:pPr>
              <w:spacing w:line="360" w:lineRule="auto"/>
              <w:jc w:val="both"/>
            </w:pPr>
            <w:r>
              <w:rPr>
                <w:sz w:val="21"/>
                <w:szCs w:val="21"/>
              </w:rPr>
              <w:t xml:space="preserve">▲ </w:t>
            </w:r>
            <w:r>
              <w:t>包含对病历复制粘贴致严重错误，如入院记录与首次病程记录复制粘贴入院记录现病史、体格检查内容，上级医师首次查房记录复制粘贴首次病程记录内容、交接班记录完全相同等病历摘抄问题，出现复制粘贴、内容雷同时能够提示质控。</w:t>
            </w:r>
          </w:p>
        </w:tc>
      </w:tr>
      <w:tr w14:paraId="4A27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trPr>
        <w:tc>
          <w:tcPr>
            <w:tcW w:w="531" w:type="dxa"/>
            <w:vMerge w:val="continue"/>
            <w:vAlign w:val="center"/>
          </w:tcPr>
          <w:p w14:paraId="50456A01">
            <w:pPr>
              <w:spacing w:line="360" w:lineRule="auto"/>
              <w:jc w:val="both"/>
            </w:pPr>
          </w:p>
        </w:tc>
        <w:tc>
          <w:tcPr>
            <w:tcW w:w="1296" w:type="dxa"/>
            <w:vMerge w:val="continue"/>
            <w:vAlign w:val="center"/>
          </w:tcPr>
          <w:p w14:paraId="4FC56212">
            <w:pPr>
              <w:spacing w:line="360" w:lineRule="auto"/>
              <w:jc w:val="both"/>
            </w:pPr>
          </w:p>
        </w:tc>
        <w:tc>
          <w:tcPr>
            <w:tcW w:w="814" w:type="dxa"/>
            <w:vMerge w:val="continue"/>
            <w:vAlign w:val="center"/>
          </w:tcPr>
          <w:p w14:paraId="034ACC0C">
            <w:pPr>
              <w:spacing w:line="360" w:lineRule="auto"/>
              <w:jc w:val="both"/>
            </w:pPr>
          </w:p>
        </w:tc>
        <w:tc>
          <w:tcPr>
            <w:tcW w:w="5649" w:type="dxa"/>
            <w:shd w:val="clear" w:color="auto" w:fill="auto"/>
          </w:tcPr>
          <w:p w14:paraId="41F5B08B">
            <w:pPr>
              <w:spacing w:line="360" w:lineRule="auto"/>
              <w:jc w:val="both"/>
              <w:rPr>
                <w:rFonts w:hint="default" w:eastAsia="宋体"/>
                <w:highlight w:val="none"/>
                <w:lang w:val="en-US" w:eastAsia="zh-CN"/>
              </w:rPr>
            </w:pPr>
            <w:r>
              <w:rPr>
                <w:highlight w:val="none"/>
              </w:rPr>
              <w:t>▲</w:t>
            </w:r>
            <w:r>
              <w:rPr>
                <w:rFonts w:hint="eastAsia"/>
                <w:highlight w:val="none"/>
                <w:lang w:val="en-US" w:eastAsia="zh-CN"/>
              </w:rPr>
              <w:t>电子签名完整率质控。包含医院首页、病历、知情同意书等所有要求进行电子签名的环节。判断所要求的病历文书是否建立、是否完成电子签名，并形成文书完整率、电子签名完整率等统计数据</w:t>
            </w:r>
          </w:p>
        </w:tc>
      </w:tr>
      <w:tr w14:paraId="350E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345B8A36">
            <w:pPr>
              <w:spacing w:line="360" w:lineRule="auto"/>
              <w:jc w:val="both"/>
            </w:pPr>
          </w:p>
        </w:tc>
        <w:tc>
          <w:tcPr>
            <w:tcW w:w="1296" w:type="dxa"/>
            <w:vMerge w:val="continue"/>
            <w:vAlign w:val="center"/>
          </w:tcPr>
          <w:p w14:paraId="50207515">
            <w:pPr>
              <w:spacing w:line="360" w:lineRule="auto"/>
              <w:jc w:val="both"/>
            </w:pPr>
          </w:p>
        </w:tc>
        <w:tc>
          <w:tcPr>
            <w:tcW w:w="814" w:type="dxa"/>
            <w:shd w:val="clear" w:color="auto" w:fill="auto"/>
          </w:tcPr>
          <w:p w14:paraId="484F3607">
            <w:pPr>
              <w:spacing w:line="360" w:lineRule="auto"/>
              <w:jc w:val="both"/>
            </w:pPr>
            <w:r>
              <w:t>2021病案管理质量控制指标</w:t>
            </w:r>
          </w:p>
          <w:p w14:paraId="1A13EA3D">
            <w:pPr>
              <w:spacing w:line="360" w:lineRule="auto"/>
              <w:jc w:val="both"/>
              <w:rPr>
                <w:rFonts w:hint="default" w:eastAsia="宋体"/>
                <w:lang w:val="en-US" w:eastAsia="zh-CN"/>
              </w:rPr>
            </w:pPr>
          </w:p>
        </w:tc>
        <w:tc>
          <w:tcPr>
            <w:tcW w:w="5649" w:type="dxa"/>
            <w:shd w:val="clear" w:color="auto" w:fill="auto"/>
          </w:tcPr>
          <w:p w14:paraId="6FE69C84">
            <w:pPr>
              <w:spacing w:line="360" w:lineRule="auto"/>
              <w:jc w:val="both"/>
              <w:rPr>
                <w:highlight w:val="none"/>
              </w:rPr>
            </w:pPr>
            <w:r>
              <w:rPr>
                <w:sz w:val="21"/>
                <w:szCs w:val="21"/>
                <w:highlight w:val="none"/>
              </w:rPr>
              <w:t xml:space="preserve">▲ </w:t>
            </w:r>
            <w:r>
              <w:rPr>
                <w:highlight w:val="none"/>
              </w:rPr>
              <w:t>提供基于</w:t>
            </w:r>
            <w:r>
              <w:rPr>
                <w:rFonts w:hint="eastAsia" w:ascii="宋体" w:hAnsi="宋体"/>
                <w:highlight w:val="none"/>
              </w:rPr>
              <w:t>27项</w:t>
            </w:r>
            <w:r>
              <w:rPr>
                <w:highlight w:val="none"/>
              </w:rPr>
              <w:t>2021病案管理质量控制指标的质控能力。例如：</w:t>
            </w:r>
          </w:p>
          <w:p w14:paraId="1C2AE269">
            <w:pPr>
              <w:spacing w:line="360" w:lineRule="auto"/>
              <w:jc w:val="both"/>
              <w:rPr>
                <w:highlight w:val="none"/>
              </w:rPr>
            </w:pPr>
            <w:r>
              <w:rPr>
                <w:highlight w:val="none"/>
              </w:rPr>
              <w:t>1）入院记录 24 小时内完成率：支持对入院记录、24小时入出院记录、24小时内入院死亡记录的缺失和时效性进行质控。</w:t>
            </w:r>
          </w:p>
          <w:p w14:paraId="69FFB4FA">
            <w:pPr>
              <w:spacing w:line="360" w:lineRule="auto"/>
              <w:jc w:val="both"/>
              <w:rPr>
                <w:highlight w:val="none"/>
              </w:rPr>
            </w:pPr>
            <w:r>
              <w:rPr>
                <w:highlight w:val="none"/>
              </w:rPr>
              <w:t>2）CT/MRI检查记录符合率：支持对接受 CT/MRI 检查的患者，缺少相关医嘱、缺少报告单等情况进行质控。</w:t>
            </w:r>
          </w:p>
          <w:p w14:paraId="37493252">
            <w:pPr>
              <w:spacing w:line="360" w:lineRule="auto"/>
              <w:jc w:val="both"/>
              <w:rPr>
                <w:highlight w:val="none"/>
              </w:rPr>
            </w:pPr>
            <w:r>
              <w:rPr>
                <w:highlight w:val="none"/>
              </w:rPr>
              <w:t>3）临床用血相关记录符合率：支持对输血患者缺少输血医嘱、缺少输血知情同意书、缺少输血记录等情况进行质控。</w:t>
            </w:r>
          </w:p>
          <w:p w14:paraId="579F8116">
            <w:pPr>
              <w:spacing w:line="360" w:lineRule="auto"/>
              <w:jc w:val="both"/>
              <w:rPr>
                <w:highlight w:val="none"/>
              </w:rPr>
            </w:pPr>
            <w:r>
              <w:rPr>
                <w:highlight w:val="none"/>
              </w:rPr>
              <w:t>4）恶性肿瘤化学治疗记录符合率：支持对接受恶性肿瘤化学治疗的患者缺少化学治疗医嘱、化学治疗未记录等情况进行质控。</w:t>
            </w:r>
          </w:p>
          <w:p w14:paraId="5D6D813F">
            <w:pPr>
              <w:spacing w:line="360" w:lineRule="auto"/>
              <w:jc w:val="both"/>
              <w:rPr>
                <w:highlight w:val="none"/>
              </w:rPr>
            </w:pPr>
            <w:r>
              <w:rPr>
                <w:highlight w:val="none"/>
              </w:rPr>
              <w:t>5）不合理复制病历发生率：对入院记录现病史、首次病程记录、日常病程记录、查房记录之间的严重雷同等情况进行质控。</w:t>
            </w:r>
          </w:p>
        </w:tc>
      </w:tr>
      <w:tr w14:paraId="56F5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39D73F1F">
            <w:pPr>
              <w:spacing w:line="360" w:lineRule="auto"/>
              <w:jc w:val="both"/>
            </w:pPr>
          </w:p>
        </w:tc>
        <w:tc>
          <w:tcPr>
            <w:tcW w:w="1296" w:type="dxa"/>
            <w:vMerge w:val="continue"/>
            <w:vAlign w:val="center"/>
          </w:tcPr>
          <w:p w14:paraId="0C80366C">
            <w:pPr>
              <w:spacing w:line="360" w:lineRule="auto"/>
              <w:jc w:val="both"/>
            </w:pPr>
          </w:p>
        </w:tc>
        <w:tc>
          <w:tcPr>
            <w:tcW w:w="814" w:type="dxa"/>
            <w:shd w:val="clear" w:color="auto" w:fill="auto"/>
          </w:tcPr>
          <w:p w14:paraId="18E1E8F3">
            <w:pPr>
              <w:spacing w:line="360" w:lineRule="auto"/>
              <w:jc w:val="both"/>
            </w:pPr>
            <w:r>
              <w:t>十八项核心医疗制度质控</w:t>
            </w:r>
          </w:p>
        </w:tc>
        <w:tc>
          <w:tcPr>
            <w:tcW w:w="5649" w:type="dxa"/>
            <w:shd w:val="clear" w:color="auto" w:fill="auto"/>
          </w:tcPr>
          <w:p w14:paraId="30A99C64">
            <w:pPr>
              <w:spacing w:line="360" w:lineRule="auto"/>
              <w:jc w:val="both"/>
            </w:pPr>
            <w:r>
              <w:t>提供基于病情变化、异常指标、治疗方案调整等关键医学行为记录书写监测。例如：</w:t>
            </w:r>
          </w:p>
          <w:p w14:paraId="3FBB8483">
            <w:pPr>
              <w:spacing w:line="360" w:lineRule="auto"/>
              <w:jc w:val="both"/>
            </w:pPr>
            <w:r>
              <w:t>1）</w:t>
            </w:r>
            <w:r>
              <w:rPr>
                <w:sz w:val="21"/>
                <w:szCs w:val="21"/>
              </w:rPr>
              <w:t xml:space="preserve">▲ </w:t>
            </w:r>
            <w:r>
              <w:t>临床用血审核制度：需要含对各单据及字段的形式质控、基于AI认知计算的跨单据内涵质控，覆盖输血医嘱开立、知情同意告知、输血申请、输血记录、输血前校验、输血后评价等。能够对输血知情同意书缺失，输血记录输注成分、血型、输血量等要素缺失，输血后疗效评价等问题给出质控。</w:t>
            </w:r>
          </w:p>
          <w:p w14:paraId="6A417A00">
            <w:pPr>
              <w:spacing w:line="360" w:lineRule="auto"/>
              <w:jc w:val="both"/>
            </w:pPr>
            <w:r>
              <w:t>2）</w:t>
            </w:r>
            <w:r>
              <w:rPr>
                <w:sz w:val="21"/>
                <w:szCs w:val="21"/>
              </w:rPr>
              <w:t xml:space="preserve">▲ </w:t>
            </w:r>
            <w:r>
              <w:t>围手术期审核：需要含对各单据及字段的形式质控、基于AI认知计算的跨单据内涵质控，覆盖术前讨论制度、手术安全核查制度等。能够对手术知情同意书缺失，术前讨论参加人员、拟施手术名称和方式等要素缺失，手术安全核查表等问题给出质控。</w:t>
            </w:r>
          </w:p>
          <w:p w14:paraId="0BE50072">
            <w:pPr>
              <w:spacing w:line="360" w:lineRule="auto"/>
              <w:jc w:val="both"/>
            </w:pPr>
            <w:r>
              <w:t>3）</w:t>
            </w:r>
            <w:r>
              <w:rPr>
                <w:sz w:val="21"/>
                <w:szCs w:val="21"/>
              </w:rPr>
              <w:t xml:space="preserve">▲ </w:t>
            </w:r>
            <w:r>
              <w:t>抗菌药物分级管理制度：质控能力需包含对抗菌药物分级管理制度的质控。如使用限制级抗菌药物缺少主治及以上医师意见、使用特殊级抗菌药物缺少副高及以上医师意见，并且能够对围手术期抗菌药物使用依据不充分、给药时间不合理、使用前缺少病原菌送检、更改抗菌药物后用药效果未记录等问题给出质控。</w:t>
            </w:r>
          </w:p>
          <w:p w14:paraId="461C1242">
            <w:pPr>
              <w:spacing w:line="360" w:lineRule="auto"/>
              <w:jc w:val="both"/>
            </w:pPr>
            <w:r>
              <w:t>4）三级医师查房制度：需要含对各单据及字段的形式质控、基于AI认知计算的跨单据内涵质控，覆盖上级医师首次查房记录、上级医师日常查房记录、日常病程记录等。</w:t>
            </w:r>
          </w:p>
          <w:p w14:paraId="5D0E05E7">
            <w:pPr>
              <w:spacing w:line="360" w:lineRule="auto"/>
              <w:jc w:val="both"/>
            </w:pPr>
            <w:r>
              <w:t>5）危急值报告制度：需要含对各单据及字段的形式质控、基于AI认知计算的跨单据内涵质控，覆盖危急值回报6小时内未记录分析意见、未记录处理意见等。</w:t>
            </w:r>
          </w:p>
          <w:p w14:paraId="44CDD6DE">
            <w:pPr>
              <w:spacing w:line="360" w:lineRule="auto"/>
              <w:jc w:val="both"/>
            </w:pPr>
            <w:r>
              <w:t>6）会诊制度：需要含对各单据及字段的形式质控、基于AI认知计算的跨单据内涵质控，覆盖会诊申请、会诊记录等。</w:t>
            </w:r>
          </w:p>
        </w:tc>
      </w:tr>
      <w:tr w14:paraId="2102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1652695A">
            <w:pPr>
              <w:spacing w:line="360" w:lineRule="auto"/>
              <w:jc w:val="both"/>
            </w:pPr>
          </w:p>
        </w:tc>
        <w:tc>
          <w:tcPr>
            <w:tcW w:w="1296" w:type="dxa"/>
            <w:vMerge w:val="continue"/>
            <w:vAlign w:val="center"/>
          </w:tcPr>
          <w:p w14:paraId="3BC1F87C">
            <w:pPr>
              <w:spacing w:line="360" w:lineRule="auto"/>
              <w:jc w:val="both"/>
            </w:pPr>
          </w:p>
        </w:tc>
        <w:tc>
          <w:tcPr>
            <w:tcW w:w="814" w:type="dxa"/>
            <w:shd w:val="clear" w:color="auto" w:fill="auto"/>
          </w:tcPr>
          <w:p w14:paraId="44346E52">
            <w:pPr>
              <w:spacing w:line="360" w:lineRule="auto"/>
              <w:jc w:val="both"/>
            </w:pPr>
            <w:r>
              <w:t>首页行业规范质控</w:t>
            </w:r>
          </w:p>
        </w:tc>
        <w:tc>
          <w:tcPr>
            <w:tcW w:w="5649" w:type="dxa"/>
            <w:shd w:val="clear" w:color="auto" w:fill="auto"/>
          </w:tcPr>
          <w:p w14:paraId="78862390">
            <w:pPr>
              <w:spacing w:line="360" w:lineRule="auto"/>
              <w:jc w:val="both"/>
            </w:pPr>
            <w:r>
              <w:t>基于国家卫健委发布的《绩效考核与医疗质量管理住院病案首页数据采集质量与接口标准（2022年版）》或《公立中医医院绩效考核中医病案首页数据质量与接口标准(2022版)》对病历书写的要求，提供重要质控点。</w:t>
            </w:r>
          </w:p>
        </w:tc>
      </w:tr>
      <w:tr w14:paraId="113F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restart"/>
            <w:shd w:val="clear" w:color="auto" w:fill="auto"/>
          </w:tcPr>
          <w:p w14:paraId="5C314E5A">
            <w:pPr>
              <w:spacing w:line="360" w:lineRule="auto"/>
              <w:jc w:val="both"/>
            </w:pPr>
            <w:r>
              <w:t>2</w:t>
            </w:r>
          </w:p>
        </w:tc>
        <w:tc>
          <w:tcPr>
            <w:tcW w:w="1296" w:type="dxa"/>
            <w:vMerge w:val="restart"/>
            <w:shd w:val="clear" w:color="auto" w:fill="auto"/>
          </w:tcPr>
          <w:p w14:paraId="5855B7F7">
            <w:pPr>
              <w:spacing w:line="360" w:lineRule="auto"/>
              <w:jc w:val="both"/>
            </w:pPr>
            <w:r>
              <w:t>质控规则配置</w:t>
            </w:r>
          </w:p>
        </w:tc>
        <w:tc>
          <w:tcPr>
            <w:tcW w:w="814" w:type="dxa"/>
            <w:vMerge w:val="restart"/>
            <w:shd w:val="clear" w:color="auto" w:fill="auto"/>
          </w:tcPr>
          <w:p w14:paraId="25881488">
            <w:pPr>
              <w:spacing w:line="360" w:lineRule="auto"/>
              <w:jc w:val="both"/>
            </w:pPr>
            <w:r>
              <w:t>评分规则管理</w:t>
            </w:r>
          </w:p>
        </w:tc>
        <w:tc>
          <w:tcPr>
            <w:tcW w:w="5649" w:type="dxa"/>
            <w:shd w:val="clear" w:color="auto" w:fill="auto"/>
          </w:tcPr>
          <w:p w14:paraId="29AA00DB">
            <w:pPr>
              <w:spacing w:line="360" w:lineRule="auto"/>
              <w:jc w:val="both"/>
            </w:pPr>
            <w:r>
              <w:t>支持管理者根据医院实际需求，配置个性化评分标准</w:t>
            </w:r>
          </w:p>
        </w:tc>
      </w:tr>
      <w:tr w14:paraId="6C21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0257D506">
            <w:pPr>
              <w:spacing w:line="360" w:lineRule="auto"/>
              <w:jc w:val="both"/>
            </w:pPr>
          </w:p>
        </w:tc>
        <w:tc>
          <w:tcPr>
            <w:tcW w:w="1296" w:type="dxa"/>
            <w:vMerge w:val="continue"/>
            <w:vAlign w:val="center"/>
          </w:tcPr>
          <w:p w14:paraId="2EB76E05">
            <w:pPr>
              <w:spacing w:line="360" w:lineRule="auto"/>
              <w:jc w:val="both"/>
            </w:pPr>
          </w:p>
        </w:tc>
        <w:tc>
          <w:tcPr>
            <w:tcW w:w="814" w:type="dxa"/>
            <w:vMerge w:val="continue"/>
            <w:vAlign w:val="center"/>
          </w:tcPr>
          <w:p w14:paraId="39AF8877">
            <w:pPr>
              <w:spacing w:line="360" w:lineRule="auto"/>
              <w:jc w:val="both"/>
            </w:pPr>
          </w:p>
        </w:tc>
        <w:tc>
          <w:tcPr>
            <w:tcW w:w="5649" w:type="dxa"/>
            <w:shd w:val="clear" w:color="auto" w:fill="auto"/>
          </w:tcPr>
          <w:p w14:paraId="4C76D149">
            <w:pPr>
              <w:spacing w:line="360" w:lineRule="auto"/>
              <w:jc w:val="both"/>
            </w:pPr>
            <w:r>
              <w:t>支持设置不同评分标准下病历等级分数区间</w:t>
            </w:r>
          </w:p>
        </w:tc>
      </w:tr>
      <w:tr w14:paraId="0968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6B7C6899">
            <w:pPr>
              <w:spacing w:line="360" w:lineRule="auto"/>
              <w:jc w:val="both"/>
            </w:pPr>
          </w:p>
        </w:tc>
        <w:tc>
          <w:tcPr>
            <w:tcW w:w="1296" w:type="dxa"/>
            <w:vMerge w:val="continue"/>
            <w:vAlign w:val="center"/>
          </w:tcPr>
          <w:p w14:paraId="47449905">
            <w:pPr>
              <w:spacing w:line="360" w:lineRule="auto"/>
              <w:jc w:val="both"/>
            </w:pPr>
          </w:p>
        </w:tc>
        <w:tc>
          <w:tcPr>
            <w:tcW w:w="814" w:type="dxa"/>
            <w:vMerge w:val="continue"/>
            <w:vAlign w:val="center"/>
          </w:tcPr>
          <w:p w14:paraId="09477BF4">
            <w:pPr>
              <w:spacing w:line="360" w:lineRule="auto"/>
              <w:jc w:val="both"/>
            </w:pPr>
          </w:p>
        </w:tc>
        <w:tc>
          <w:tcPr>
            <w:tcW w:w="5649" w:type="dxa"/>
            <w:shd w:val="clear" w:color="auto" w:fill="auto"/>
          </w:tcPr>
          <w:p w14:paraId="657CD157">
            <w:pPr>
              <w:spacing w:line="360" w:lineRule="auto"/>
              <w:jc w:val="both"/>
            </w:pPr>
            <w:r>
              <w:t>支持设置不同评分标准下的评分项目组、评分内容、包含质控点和生效科室</w:t>
            </w:r>
          </w:p>
        </w:tc>
      </w:tr>
      <w:tr w14:paraId="5D91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09E07BED">
            <w:pPr>
              <w:spacing w:line="360" w:lineRule="auto"/>
              <w:jc w:val="both"/>
            </w:pPr>
          </w:p>
        </w:tc>
        <w:tc>
          <w:tcPr>
            <w:tcW w:w="1296" w:type="dxa"/>
            <w:vMerge w:val="continue"/>
            <w:vAlign w:val="center"/>
          </w:tcPr>
          <w:p w14:paraId="57717DED">
            <w:pPr>
              <w:spacing w:line="360" w:lineRule="auto"/>
              <w:jc w:val="both"/>
            </w:pPr>
          </w:p>
        </w:tc>
        <w:tc>
          <w:tcPr>
            <w:tcW w:w="814" w:type="dxa"/>
            <w:vMerge w:val="continue"/>
            <w:vAlign w:val="center"/>
          </w:tcPr>
          <w:p w14:paraId="7902ABF1">
            <w:pPr>
              <w:spacing w:line="360" w:lineRule="auto"/>
              <w:jc w:val="both"/>
            </w:pPr>
          </w:p>
        </w:tc>
        <w:tc>
          <w:tcPr>
            <w:tcW w:w="5649" w:type="dxa"/>
            <w:shd w:val="clear" w:color="auto" w:fill="auto"/>
          </w:tcPr>
          <w:p w14:paraId="095DE78E">
            <w:pPr>
              <w:spacing w:line="360" w:lineRule="auto"/>
              <w:jc w:val="both"/>
            </w:pPr>
            <w:r>
              <w:t>支持设置扣分上限和扣分方式，如按项扣分、按次扣分、单否等</w:t>
            </w:r>
          </w:p>
        </w:tc>
      </w:tr>
      <w:tr w14:paraId="083E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4939A387">
            <w:pPr>
              <w:spacing w:line="360" w:lineRule="auto"/>
              <w:jc w:val="both"/>
            </w:pPr>
          </w:p>
        </w:tc>
        <w:tc>
          <w:tcPr>
            <w:tcW w:w="1296" w:type="dxa"/>
            <w:vMerge w:val="continue"/>
            <w:vAlign w:val="center"/>
          </w:tcPr>
          <w:p w14:paraId="29AB83E1">
            <w:pPr>
              <w:spacing w:line="360" w:lineRule="auto"/>
              <w:jc w:val="both"/>
            </w:pPr>
          </w:p>
        </w:tc>
        <w:tc>
          <w:tcPr>
            <w:tcW w:w="814" w:type="dxa"/>
            <w:vMerge w:val="continue"/>
            <w:vAlign w:val="center"/>
          </w:tcPr>
          <w:p w14:paraId="4F35B75F">
            <w:pPr>
              <w:spacing w:line="360" w:lineRule="auto"/>
              <w:jc w:val="both"/>
            </w:pPr>
          </w:p>
        </w:tc>
        <w:tc>
          <w:tcPr>
            <w:tcW w:w="5649" w:type="dxa"/>
            <w:shd w:val="clear" w:color="auto" w:fill="auto"/>
          </w:tcPr>
          <w:p w14:paraId="03ABEA6D">
            <w:pPr>
              <w:spacing w:line="360" w:lineRule="auto"/>
              <w:jc w:val="both"/>
            </w:pPr>
            <w:r>
              <w:t>支持对规则是否在医生端打开进行设置</w:t>
            </w:r>
          </w:p>
        </w:tc>
      </w:tr>
      <w:tr w14:paraId="1B09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6B6B3C71">
            <w:pPr>
              <w:spacing w:line="360" w:lineRule="auto"/>
              <w:jc w:val="both"/>
            </w:pPr>
          </w:p>
        </w:tc>
        <w:tc>
          <w:tcPr>
            <w:tcW w:w="1296" w:type="dxa"/>
            <w:vMerge w:val="continue"/>
            <w:vAlign w:val="center"/>
          </w:tcPr>
          <w:p w14:paraId="138625A5">
            <w:pPr>
              <w:spacing w:line="360" w:lineRule="auto"/>
              <w:jc w:val="both"/>
            </w:pPr>
          </w:p>
        </w:tc>
        <w:tc>
          <w:tcPr>
            <w:tcW w:w="814" w:type="dxa"/>
            <w:vMerge w:val="continue"/>
            <w:vAlign w:val="center"/>
          </w:tcPr>
          <w:p w14:paraId="42C5571B">
            <w:pPr>
              <w:spacing w:line="360" w:lineRule="auto"/>
              <w:jc w:val="both"/>
            </w:pPr>
          </w:p>
        </w:tc>
        <w:tc>
          <w:tcPr>
            <w:tcW w:w="5649" w:type="dxa"/>
            <w:shd w:val="clear" w:color="auto" w:fill="auto"/>
          </w:tcPr>
          <w:p w14:paraId="40693FA2">
            <w:pPr>
              <w:spacing w:line="360" w:lineRule="auto"/>
              <w:jc w:val="both"/>
            </w:pPr>
            <w:r>
              <w:t>支持按科室维度配置、查看质控点</w:t>
            </w:r>
          </w:p>
        </w:tc>
      </w:tr>
      <w:tr w14:paraId="418E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4927C899">
            <w:pPr>
              <w:spacing w:line="360" w:lineRule="auto"/>
              <w:jc w:val="both"/>
            </w:pPr>
          </w:p>
        </w:tc>
        <w:tc>
          <w:tcPr>
            <w:tcW w:w="1296" w:type="dxa"/>
            <w:vMerge w:val="continue"/>
            <w:vAlign w:val="center"/>
          </w:tcPr>
          <w:p w14:paraId="228F9C46">
            <w:pPr>
              <w:spacing w:line="360" w:lineRule="auto"/>
              <w:jc w:val="both"/>
            </w:pPr>
          </w:p>
        </w:tc>
        <w:tc>
          <w:tcPr>
            <w:tcW w:w="814" w:type="dxa"/>
            <w:vMerge w:val="restart"/>
            <w:shd w:val="clear" w:color="auto" w:fill="auto"/>
          </w:tcPr>
          <w:p w14:paraId="76A80637">
            <w:pPr>
              <w:spacing w:line="360" w:lineRule="auto"/>
              <w:jc w:val="both"/>
            </w:pPr>
            <w:r>
              <w:t>质控点管理</w:t>
            </w:r>
          </w:p>
        </w:tc>
        <w:tc>
          <w:tcPr>
            <w:tcW w:w="5649" w:type="dxa"/>
            <w:shd w:val="clear" w:color="auto" w:fill="auto"/>
          </w:tcPr>
          <w:p w14:paraId="416DB882">
            <w:pPr>
              <w:spacing w:line="360" w:lineRule="auto"/>
              <w:jc w:val="both"/>
            </w:pPr>
            <w:r>
              <w:t>提供可视化质控规则编辑及维护平台</w:t>
            </w:r>
          </w:p>
        </w:tc>
      </w:tr>
      <w:tr w14:paraId="38C6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43FDB114">
            <w:pPr>
              <w:spacing w:line="360" w:lineRule="auto"/>
              <w:jc w:val="both"/>
            </w:pPr>
          </w:p>
        </w:tc>
        <w:tc>
          <w:tcPr>
            <w:tcW w:w="1296" w:type="dxa"/>
            <w:vMerge w:val="continue"/>
            <w:vAlign w:val="center"/>
          </w:tcPr>
          <w:p w14:paraId="3335568A">
            <w:pPr>
              <w:spacing w:line="360" w:lineRule="auto"/>
              <w:jc w:val="both"/>
            </w:pPr>
          </w:p>
        </w:tc>
        <w:tc>
          <w:tcPr>
            <w:tcW w:w="814" w:type="dxa"/>
            <w:vMerge w:val="continue"/>
            <w:vAlign w:val="center"/>
          </w:tcPr>
          <w:p w14:paraId="7343A3A8">
            <w:pPr>
              <w:spacing w:line="360" w:lineRule="auto"/>
              <w:jc w:val="both"/>
            </w:pPr>
          </w:p>
        </w:tc>
        <w:tc>
          <w:tcPr>
            <w:tcW w:w="5649" w:type="dxa"/>
            <w:shd w:val="clear" w:color="auto" w:fill="auto"/>
          </w:tcPr>
          <w:p w14:paraId="3180B6F2">
            <w:pPr>
              <w:spacing w:line="360" w:lineRule="auto"/>
              <w:jc w:val="both"/>
            </w:pPr>
            <w:r>
              <w:t>支持医院根据管理需求新建质控规则，包含完整性、一致性、合理性、时效性、规范性规则。</w:t>
            </w:r>
          </w:p>
          <w:p w14:paraId="3AC66673">
            <w:pPr>
              <w:spacing w:line="360" w:lineRule="auto"/>
              <w:jc w:val="both"/>
            </w:pPr>
            <w:r>
              <w:t>1）一致性规则编辑：如配置入院记录-入院记录-体格检查中身体部位与男性人群不一致</w:t>
            </w:r>
          </w:p>
          <w:p w14:paraId="3FF1A1ED">
            <w:pPr>
              <w:spacing w:line="360" w:lineRule="auto"/>
              <w:jc w:val="both"/>
            </w:pPr>
            <w:r>
              <w:t>2）完整性规则编辑：如配置入院记录-婚育史-婚姻状态缺失</w:t>
            </w:r>
          </w:p>
          <w:p w14:paraId="7C1A12A2">
            <w:pPr>
              <w:spacing w:line="360" w:lineRule="auto"/>
              <w:jc w:val="both"/>
            </w:pPr>
            <w:r>
              <w:t>3）时效性规则编辑：如配置病程记录-入院记录未在患者入院后24小时内完成</w:t>
            </w:r>
          </w:p>
          <w:p w14:paraId="15C98B01">
            <w:pPr>
              <w:spacing w:line="360" w:lineRule="auto"/>
              <w:jc w:val="both"/>
            </w:pPr>
            <w:r>
              <w:t>4）合理性规则编辑：如配置入院记录-月经史-月经周期与年龄人群不一致</w:t>
            </w:r>
          </w:p>
          <w:p w14:paraId="6EE60210">
            <w:pPr>
              <w:spacing w:line="360" w:lineRule="auto"/>
              <w:jc w:val="both"/>
            </w:pPr>
            <w:r>
              <w:t>5）规范性规则编辑：如配置病案首页-【麻醉方式】代码不在值域范围内</w:t>
            </w:r>
          </w:p>
        </w:tc>
      </w:tr>
      <w:tr w14:paraId="2E76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3FA434AB">
            <w:pPr>
              <w:spacing w:line="360" w:lineRule="auto"/>
              <w:jc w:val="both"/>
            </w:pPr>
          </w:p>
        </w:tc>
        <w:tc>
          <w:tcPr>
            <w:tcW w:w="1296" w:type="dxa"/>
            <w:vMerge w:val="continue"/>
            <w:vAlign w:val="center"/>
          </w:tcPr>
          <w:p w14:paraId="49D5D17C">
            <w:pPr>
              <w:spacing w:line="360" w:lineRule="auto"/>
              <w:jc w:val="both"/>
            </w:pPr>
          </w:p>
        </w:tc>
        <w:tc>
          <w:tcPr>
            <w:tcW w:w="814" w:type="dxa"/>
            <w:vMerge w:val="continue"/>
            <w:vAlign w:val="center"/>
          </w:tcPr>
          <w:p w14:paraId="3159437F">
            <w:pPr>
              <w:spacing w:line="360" w:lineRule="auto"/>
              <w:jc w:val="both"/>
            </w:pPr>
          </w:p>
        </w:tc>
        <w:tc>
          <w:tcPr>
            <w:tcW w:w="5649" w:type="dxa"/>
            <w:shd w:val="clear" w:color="auto" w:fill="auto"/>
          </w:tcPr>
          <w:p w14:paraId="74AC5FFF">
            <w:pPr>
              <w:spacing w:line="360" w:lineRule="auto"/>
              <w:jc w:val="both"/>
            </w:pPr>
            <w:r>
              <w:t>支持对新建规则进行测试，测试通过后可将该规则上线使用</w:t>
            </w:r>
          </w:p>
        </w:tc>
      </w:tr>
      <w:tr w14:paraId="6BAE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7A3C04A1">
            <w:pPr>
              <w:spacing w:line="360" w:lineRule="auto"/>
              <w:jc w:val="both"/>
            </w:pPr>
          </w:p>
        </w:tc>
        <w:tc>
          <w:tcPr>
            <w:tcW w:w="1296" w:type="dxa"/>
            <w:vMerge w:val="continue"/>
            <w:vAlign w:val="center"/>
          </w:tcPr>
          <w:p w14:paraId="491D27E8">
            <w:pPr>
              <w:spacing w:line="360" w:lineRule="auto"/>
              <w:jc w:val="both"/>
            </w:pPr>
          </w:p>
        </w:tc>
        <w:tc>
          <w:tcPr>
            <w:tcW w:w="814" w:type="dxa"/>
            <w:vMerge w:val="continue"/>
            <w:vAlign w:val="center"/>
          </w:tcPr>
          <w:p w14:paraId="4A8FBCB3">
            <w:pPr>
              <w:spacing w:line="360" w:lineRule="auto"/>
              <w:jc w:val="both"/>
            </w:pPr>
          </w:p>
        </w:tc>
        <w:tc>
          <w:tcPr>
            <w:tcW w:w="5649" w:type="dxa"/>
            <w:shd w:val="clear" w:color="auto" w:fill="auto"/>
          </w:tcPr>
          <w:p w14:paraId="0B902C97">
            <w:pPr>
              <w:spacing w:line="360" w:lineRule="auto"/>
              <w:jc w:val="both"/>
            </w:pPr>
            <w:r>
              <w:t>支持对规则的生效状态进行开启/关闭设置</w:t>
            </w:r>
          </w:p>
        </w:tc>
      </w:tr>
      <w:tr w14:paraId="5635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5F90B722">
            <w:pPr>
              <w:spacing w:line="360" w:lineRule="auto"/>
              <w:jc w:val="both"/>
            </w:pPr>
          </w:p>
        </w:tc>
        <w:tc>
          <w:tcPr>
            <w:tcW w:w="1296" w:type="dxa"/>
            <w:vMerge w:val="continue"/>
            <w:vAlign w:val="center"/>
          </w:tcPr>
          <w:p w14:paraId="499FCBC0">
            <w:pPr>
              <w:spacing w:line="360" w:lineRule="auto"/>
              <w:jc w:val="both"/>
            </w:pPr>
          </w:p>
        </w:tc>
        <w:tc>
          <w:tcPr>
            <w:tcW w:w="814" w:type="dxa"/>
            <w:vMerge w:val="continue"/>
            <w:vAlign w:val="center"/>
          </w:tcPr>
          <w:p w14:paraId="680DC35A">
            <w:pPr>
              <w:spacing w:line="360" w:lineRule="auto"/>
              <w:jc w:val="both"/>
            </w:pPr>
          </w:p>
        </w:tc>
        <w:tc>
          <w:tcPr>
            <w:tcW w:w="5649" w:type="dxa"/>
            <w:shd w:val="clear" w:color="auto" w:fill="auto"/>
          </w:tcPr>
          <w:p w14:paraId="6B2EA425">
            <w:pPr>
              <w:spacing w:line="360" w:lineRule="auto"/>
              <w:jc w:val="both"/>
            </w:pPr>
            <w:r>
              <w:t>支持按照类型、状态、创建日期等对规则进行筛选和排序</w:t>
            </w:r>
          </w:p>
        </w:tc>
      </w:tr>
      <w:tr w14:paraId="5D12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5C72941B">
            <w:pPr>
              <w:spacing w:line="360" w:lineRule="auto"/>
              <w:jc w:val="both"/>
            </w:pPr>
          </w:p>
        </w:tc>
        <w:tc>
          <w:tcPr>
            <w:tcW w:w="1296" w:type="dxa"/>
            <w:vMerge w:val="continue"/>
            <w:vAlign w:val="center"/>
          </w:tcPr>
          <w:p w14:paraId="3B358AB0">
            <w:pPr>
              <w:spacing w:line="360" w:lineRule="auto"/>
              <w:jc w:val="both"/>
            </w:pPr>
          </w:p>
        </w:tc>
        <w:tc>
          <w:tcPr>
            <w:tcW w:w="814" w:type="dxa"/>
            <w:shd w:val="clear" w:color="auto" w:fill="auto"/>
          </w:tcPr>
          <w:p w14:paraId="413E7145">
            <w:pPr>
              <w:spacing w:line="360" w:lineRule="auto"/>
              <w:jc w:val="both"/>
            </w:pPr>
            <w:r>
              <w:t>测试病历管理</w:t>
            </w:r>
          </w:p>
        </w:tc>
        <w:tc>
          <w:tcPr>
            <w:tcW w:w="5649" w:type="dxa"/>
            <w:shd w:val="clear" w:color="auto" w:fill="auto"/>
          </w:tcPr>
          <w:p w14:paraId="4FD93C00">
            <w:pPr>
              <w:spacing w:line="360" w:lineRule="auto"/>
              <w:jc w:val="both"/>
            </w:pPr>
            <w:r>
              <w:t>支持维护测试病历数据，可用于新建质控规则上线前的测试。测试病历数据可按照病历名称进行查询</w:t>
            </w:r>
          </w:p>
        </w:tc>
      </w:tr>
      <w:tr w14:paraId="50DE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restart"/>
            <w:shd w:val="clear" w:color="auto" w:fill="auto"/>
          </w:tcPr>
          <w:p w14:paraId="0EABCAAF">
            <w:pPr>
              <w:spacing w:line="360" w:lineRule="auto"/>
              <w:jc w:val="both"/>
            </w:pPr>
            <w:r>
              <w:t>3</w:t>
            </w:r>
          </w:p>
        </w:tc>
        <w:tc>
          <w:tcPr>
            <w:tcW w:w="1296" w:type="dxa"/>
            <w:vMerge w:val="restart"/>
            <w:shd w:val="clear" w:color="auto" w:fill="auto"/>
          </w:tcPr>
          <w:p w14:paraId="30226BB6">
            <w:pPr>
              <w:spacing w:line="360" w:lineRule="auto"/>
              <w:jc w:val="both"/>
            </w:pPr>
            <w:r>
              <w:t>医生端实时质控</w:t>
            </w:r>
          </w:p>
        </w:tc>
        <w:tc>
          <w:tcPr>
            <w:tcW w:w="814" w:type="dxa"/>
            <w:vMerge w:val="restart"/>
            <w:shd w:val="clear" w:color="auto" w:fill="auto"/>
          </w:tcPr>
          <w:p w14:paraId="3E6155F5">
            <w:pPr>
              <w:spacing w:line="360" w:lineRule="auto"/>
              <w:jc w:val="both"/>
            </w:pPr>
            <w:r>
              <w:t>医生端实时提醒</w:t>
            </w:r>
          </w:p>
        </w:tc>
        <w:tc>
          <w:tcPr>
            <w:tcW w:w="5649" w:type="dxa"/>
            <w:shd w:val="clear" w:color="auto" w:fill="auto"/>
          </w:tcPr>
          <w:p w14:paraId="1A674C99">
            <w:pPr>
              <w:spacing w:line="360" w:lineRule="auto"/>
              <w:jc w:val="both"/>
              <w:rPr>
                <w:rFonts w:hint="eastAsia" w:eastAsia="宋体"/>
                <w:lang w:eastAsia="zh-CN"/>
              </w:rPr>
            </w:pPr>
            <w:r>
              <w:t>支持在医生端实时查看机器质控问题，医生可根据提示内容修改病</w:t>
            </w:r>
            <w:r>
              <w:rPr>
                <w:highlight w:val="none"/>
              </w:rPr>
              <w:t>历</w:t>
            </w:r>
            <w:r>
              <w:rPr>
                <w:rFonts w:hint="eastAsia"/>
                <w:highlight w:val="none"/>
                <w:lang w:eastAsia="zh-CN"/>
              </w:rPr>
              <w:t>。</w:t>
            </w:r>
            <w:r>
              <w:rPr>
                <w:rFonts w:hint="eastAsia" w:ascii="宋体" w:hAnsi="宋体"/>
                <w:highlight w:val="none"/>
              </w:rPr>
              <w:t>当医生在电子病历系统编辑病历点击保存，即刻以插件形式提供实时质控提醒。无需进入单独的病历质控程序就可查看实时质控内容。</w:t>
            </w:r>
          </w:p>
        </w:tc>
      </w:tr>
      <w:tr w14:paraId="3263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2E8C15C3">
            <w:pPr>
              <w:spacing w:line="360" w:lineRule="auto"/>
              <w:jc w:val="both"/>
            </w:pPr>
          </w:p>
        </w:tc>
        <w:tc>
          <w:tcPr>
            <w:tcW w:w="1296" w:type="dxa"/>
            <w:vMerge w:val="continue"/>
            <w:vAlign w:val="center"/>
          </w:tcPr>
          <w:p w14:paraId="341C1B77">
            <w:pPr>
              <w:spacing w:line="360" w:lineRule="auto"/>
              <w:jc w:val="both"/>
            </w:pPr>
          </w:p>
        </w:tc>
        <w:tc>
          <w:tcPr>
            <w:tcW w:w="814" w:type="dxa"/>
            <w:vMerge w:val="continue"/>
            <w:vAlign w:val="center"/>
          </w:tcPr>
          <w:p w14:paraId="08283281">
            <w:pPr>
              <w:spacing w:line="360" w:lineRule="auto"/>
              <w:jc w:val="both"/>
            </w:pPr>
          </w:p>
        </w:tc>
        <w:tc>
          <w:tcPr>
            <w:tcW w:w="5649" w:type="dxa"/>
            <w:shd w:val="clear" w:color="auto" w:fill="auto"/>
          </w:tcPr>
          <w:p w14:paraId="5310AD3B">
            <w:pPr>
              <w:spacing w:line="360" w:lineRule="auto"/>
              <w:jc w:val="both"/>
            </w:pPr>
            <w:r>
              <w:t>支持医生对机器质控结果进行申诉，同时支持输入申诉原因</w:t>
            </w:r>
          </w:p>
        </w:tc>
      </w:tr>
      <w:tr w14:paraId="432B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1E58DE21">
            <w:pPr>
              <w:spacing w:line="360" w:lineRule="auto"/>
              <w:jc w:val="both"/>
            </w:pPr>
          </w:p>
        </w:tc>
        <w:tc>
          <w:tcPr>
            <w:tcW w:w="1296" w:type="dxa"/>
            <w:vMerge w:val="continue"/>
            <w:vAlign w:val="center"/>
          </w:tcPr>
          <w:p w14:paraId="5FFFB1D6">
            <w:pPr>
              <w:spacing w:line="360" w:lineRule="auto"/>
              <w:jc w:val="both"/>
            </w:pPr>
          </w:p>
        </w:tc>
        <w:tc>
          <w:tcPr>
            <w:tcW w:w="814" w:type="dxa"/>
            <w:vMerge w:val="restart"/>
            <w:shd w:val="clear" w:color="auto" w:fill="auto"/>
          </w:tcPr>
          <w:p w14:paraId="4D7387B8">
            <w:pPr>
              <w:spacing w:line="360" w:lineRule="auto"/>
              <w:jc w:val="both"/>
            </w:pPr>
            <w:r>
              <w:t>整改通知</w:t>
            </w:r>
          </w:p>
        </w:tc>
        <w:tc>
          <w:tcPr>
            <w:tcW w:w="5649" w:type="dxa"/>
            <w:shd w:val="clear" w:color="auto" w:fill="auto"/>
          </w:tcPr>
          <w:p w14:paraId="7E6AB8D9">
            <w:pPr>
              <w:spacing w:line="360" w:lineRule="auto"/>
              <w:jc w:val="both"/>
            </w:pPr>
            <w:r>
              <w:rPr>
                <w:sz w:val="21"/>
                <w:szCs w:val="21"/>
              </w:rPr>
              <w:t xml:space="preserve">▲ </w:t>
            </w:r>
            <w:r>
              <w:t>支持医生接收整改通知，包含催办的病历/缺陷、审核存疑的病历、申诉驳回的缺陷等，并在列表中显示整改通知的类型</w:t>
            </w:r>
          </w:p>
        </w:tc>
      </w:tr>
      <w:tr w14:paraId="6F23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47477419">
            <w:pPr>
              <w:spacing w:line="360" w:lineRule="auto"/>
              <w:jc w:val="both"/>
            </w:pPr>
          </w:p>
        </w:tc>
        <w:tc>
          <w:tcPr>
            <w:tcW w:w="1296" w:type="dxa"/>
            <w:vMerge w:val="continue"/>
            <w:vAlign w:val="center"/>
          </w:tcPr>
          <w:p w14:paraId="022B87E5">
            <w:pPr>
              <w:spacing w:line="360" w:lineRule="auto"/>
              <w:jc w:val="both"/>
            </w:pPr>
          </w:p>
        </w:tc>
        <w:tc>
          <w:tcPr>
            <w:tcW w:w="814" w:type="dxa"/>
            <w:vMerge w:val="continue"/>
            <w:vAlign w:val="center"/>
          </w:tcPr>
          <w:p w14:paraId="6DF27735">
            <w:pPr>
              <w:spacing w:line="360" w:lineRule="auto"/>
              <w:jc w:val="both"/>
            </w:pPr>
          </w:p>
        </w:tc>
        <w:tc>
          <w:tcPr>
            <w:tcW w:w="5649" w:type="dxa"/>
            <w:shd w:val="clear" w:color="auto" w:fill="auto"/>
          </w:tcPr>
          <w:p w14:paraId="7B49C070">
            <w:pPr>
              <w:spacing w:line="360" w:lineRule="auto"/>
              <w:jc w:val="both"/>
            </w:pPr>
            <w:r>
              <w:t>按照医生维度，展示该医生名下的所有整改通知，按照时间顺序由新到旧排列</w:t>
            </w:r>
          </w:p>
        </w:tc>
      </w:tr>
      <w:tr w14:paraId="5CC2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4540D735">
            <w:pPr>
              <w:spacing w:line="360" w:lineRule="auto"/>
              <w:jc w:val="both"/>
            </w:pPr>
          </w:p>
        </w:tc>
        <w:tc>
          <w:tcPr>
            <w:tcW w:w="1296" w:type="dxa"/>
            <w:vMerge w:val="continue"/>
            <w:vAlign w:val="center"/>
          </w:tcPr>
          <w:p w14:paraId="5248C370">
            <w:pPr>
              <w:spacing w:line="360" w:lineRule="auto"/>
              <w:jc w:val="both"/>
            </w:pPr>
          </w:p>
        </w:tc>
        <w:tc>
          <w:tcPr>
            <w:tcW w:w="814" w:type="dxa"/>
            <w:vMerge w:val="continue"/>
            <w:vAlign w:val="center"/>
          </w:tcPr>
          <w:p w14:paraId="4DF8F851">
            <w:pPr>
              <w:spacing w:line="360" w:lineRule="auto"/>
              <w:jc w:val="both"/>
            </w:pPr>
          </w:p>
        </w:tc>
        <w:tc>
          <w:tcPr>
            <w:tcW w:w="5649" w:type="dxa"/>
            <w:shd w:val="clear" w:color="auto" w:fill="auto"/>
          </w:tcPr>
          <w:p w14:paraId="1D3A0D40">
            <w:pPr>
              <w:spacing w:line="360" w:lineRule="auto"/>
              <w:jc w:val="both"/>
            </w:pPr>
            <w:r>
              <w:t>支持查看每条整改通知里包含的文书和缺陷，并支持复制住院号后在电子病历系统修改病历缺陷</w:t>
            </w:r>
          </w:p>
        </w:tc>
      </w:tr>
      <w:tr w14:paraId="7DD0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restart"/>
            <w:shd w:val="clear" w:color="auto" w:fill="auto"/>
          </w:tcPr>
          <w:p w14:paraId="2101C973">
            <w:pPr>
              <w:spacing w:line="360" w:lineRule="auto"/>
              <w:jc w:val="both"/>
            </w:pPr>
            <w:r>
              <w:t>4</w:t>
            </w:r>
          </w:p>
        </w:tc>
        <w:tc>
          <w:tcPr>
            <w:tcW w:w="1296" w:type="dxa"/>
            <w:vMerge w:val="restart"/>
            <w:shd w:val="clear" w:color="auto" w:fill="auto"/>
          </w:tcPr>
          <w:p w14:paraId="0946144B">
            <w:pPr>
              <w:spacing w:line="360" w:lineRule="auto"/>
              <w:jc w:val="both"/>
            </w:pPr>
            <w:r>
              <w:t>病案端病历质量管理</w:t>
            </w:r>
          </w:p>
        </w:tc>
        <w:tc>
          <w:tcPr>
            <w:tcW w:w="814" w:type="dxa"/>
            <w:vMerge w:val="restart"/>
            <w:shd w:val="clear" w:color="auto" w:fill="auto"/>
          </w:tcPr>
          <w:p w14:paraId="6C28E6CA">
            <w:pPr>
              <w:spacing w:line="360" w:lineRule="auto"/>
              <w:jc w:val="both"/>
            </w:pPr>
            <w:r>
              <w:t>质控列表</w:t>
            </w:r>
          </w:p>
        </w:tc>
        <w:tc>
          <w:tcPr>
            <w:tcW w:w="5649" w:type="dxa"/>
            <w:shd w:val="clear" w:color="auto" w:fill="auto"/>
          </w:tcPr>
          <w:p w14:paraId="54BB25B4">
            <w:pPr>
              <w:spacing w:line="360" w:lineRule="auto"/>
              <w:jc w:val="both"/>
            </w:pPr>
            <w:r>
              <w:t>支持运行和终末病历质控</w:t>
            </w:r>
          </w:p>
        </w:tc>
      </w:tr>
      <w:tr w14:paraId="38EF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60020871">
            <w:pPr>
              <w:spacing w:line="360" w:lineRule="auto"/>
              <w:jc w:val="both"/>
            </w:pPr>
          </w:p>
        </w:tc>
        <w:tc>
          <w:tcPr>
            <w:tcW w:w="1296" w:type="dxa"/>
            <w:vMerge w:val="continue"/>
            <w:vAlign w:val="center"/>
          </w:tcPr>
          <w:p w14:paraId="2A4857A4">
            <w:pPr>
              <w:spacing w:line="360" w:lineRule="auto"/>
              <w:jc w:val="both"/>
            </w:pPr>
          </w:p>
        </w:tc>
        <w:tc>
          <w:tcPr>
            <w:tcW w:w="814" w:type="dxa"/>
            <w:vMerge w:val="continue"/>
            <w:vAlign w:val="center"/>
          </w:tcPr>
          <w:p w14:paraId="792078A5">
            <w:pPr>
              <w:spacing w:line="360" w:lineRule="auto"/>
              <w:jc w:val="both"/>
            </w:pPr>
          </w:p>
        </w:tc>
        <w:tc>
          <w:tcPr>
            <w:tcW w:w="5649" w:type="dxa"/>
            <w:shd w:val="clear" w:color="auto" w:fill="auto"/>
          </w:tcPr>
          <w:p w14:paraId="00144AC8">
            <w:pPr>
              <w:spacing w:line="360" w:lineRule="auto"/>
              <w:jc w:val="both"/>
            </w:pPr>
            <w:r>
              <w:t>支持展示运行/终末缺陷列表和病历列表</w:t>
            </w:r>
          </w:p>
        </w:tc>
      </w:tr>
      <w:tr w14:paraId="4BA9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67ADC426">
            <w:pPr>
              <w:spacing w:line="360" w:lineRule="auto"/>
              <w:jc w:val="both"/>
            </w:pPr>
          </w:p>
        </w:tc>
        <w:tc>
          <w:tcPr>
            <w:tcW w:w="1296" w:type="dxa"/>
            <w:vMerge w:val="continue"/>
            <w:vAlign w:val="center"/>
          </w:tcPr>
          <w:p w14:paraId="3FD2DA28">
            <w:pPr>
              <w:spacing w:line="360" w:lineRule="auto"/>
              <w:jc w:val="both"/>
            </w:pPr>
          </w:p>
        </w:tc>
        <w:tc>
          <w:tcPr>
            <w:tcW w:w="814" w:type="dxa"/>
            <w:vMerge w:val="continue"/>
            <w:vAlign w:val="center"/>
          </w:tcPr>
          <w:p w14:paraId="6A7E2F10">
            <w:pPr>
              <w:spacing w:line="360" w:lineRule="auto"/>
              <w:jc w:val="both"/>
            </w:pPr>
          </w:p>
        </w:tc>
        <w:tc>
          <w:tcPr>
            <w:tcW w:w="5649" w:type="dxa"/>
            <w:shd w:val="clear" w:color="auto" w:fill="auto"/>
          </w:tcPr>
          <w:p w14:paraId="463AFA1F">
            <w:pPr>
              <w:spacing w:line="360" w:lineRule="auto"/>
              <w:jc w:val="both"/>
            </w:pPr>
            <w:r>
              <w:t>支持查看临床申诉缺陷，并对申诉进行通过和驳回操作</w:t>
            </w:r>
          </w:p>
        </w:tc>
      </w:tr>
      <w:tr w14:paraId="65E1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7F66F943">
            <w:pPr>
              <w:spacing w:line="360" w:lineRule="auto"/>
              <w:jc w:val="both"/>
            </w:pPr>
          </w:p>
        </w:tc>
        <w:tc>
          <w:tcPr>
            <w:tcW w:w="1296" w:type="dxa"/>
            <w:vMerge w:val="continue"/>
            <w:vAlign w:val="center"/>
          </w:tcPr>
          <w:p w14:paraId="0BFDEA3E">
            <w:pPr>
              <w:spacing w:line="360" w:lineRule="auto"/>
              <w:jc w:val="both"/>
            </w:pPr>
          </w:p>
        </w:tc>
        <w:tc>
          <w:tcPr>
            <w:tcW w:w="814" w:type="dxa"/>
            <w:vMerge w:val="continue"/>
            <w:vAlign w:val="center"/>
          </w:tcPr>
          <w:p w14:paraId="64071F0D">
            <w:pPr>
              <w:spacing w:line="360" w:lineRule="auto"/>
              <w:jc w:val="both"/>
            </w:pPr>
          </w:p>
        </w:tc>
        <w:tc>
          <w:tcPr>
            <w:tcW w:w="5649" w:type="dxa"/>
            <w:shd w:val="clear" w:color="auto" w:fill="auto"/>
          </w:tcPr>
          <w:p w14:paraId="0729DCB5">
            <w:pPr>
              <w:spacing w:line="360" w:lineRule="auto"/>
              <w:jc w:val="both"/>
            </w:pPr>
            <w:r>
              <w:t>支持查看缺陷整改前后对比，整改的部分高亮显示</w:t>
            </w:r>
          </w:p>
        </w:tc>
      </w:tr>
      <w:tr w14:paraId="518F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6DF43A69">
            <w:pPr>
              <w:spacing w:line="360" w:lineRule="auto"/>
              <w:jc w:val="both"/>
            </w:pPr>
          </w:p>
        </w:tc>
        <w:tc>
          <w:tcPr>
            <w:tcW w:w="1296" w:type="dxa"/>
            <w:vMerge w:val="continue"/>
            <w:vAlign w:val="center"/>
          </w:tcPr>
          <w:p w14:paraId="697BA094">
            <w:pPr>
              <w:spacing w:line="360" w:lineRule="auto"/>
              <w:jc w:val="both"/>
            </w:pPr>
          </w:p>
        </w:tc>
        <w:tc>
          <w:tcPr>
            <w:tcW w:w="814" w:type="dxa"/>
            <w:vMerge w:val="continue"/>
            <w:vAlign w:val="center"/>
          </w:tcPr>
          <w:p w14:paraId="3D96E68C">
            <w:pPr>
              <w:spacing w:line="360" w:lineRule="auto"/>
              <w:jc w:val="both"/>
            </w:pPr>
          </w:p>
        </w:tc>
        <w:tc>
          <w:tcPr>
            <w:tcW w:w="5649" w:type="dxa"/>
            <w:shd w:val="clear" w:color="auto" w:fill="auto"/>
          </w:tcPr>
          <w:p w14:paraId="73AC21DD">
            <w:pPr>
              <w:spacing w:line="360" w:lineRule="auto"/>
              <w:jc w:val="both"/>
            </w:pPr>
            <w:r>
              <w:t>支持批量催办、批量通过和批量审核存疑操作</w:t>
            </w:r>
          </w:p>
        </w:tc>
      </w:tr>
      <w:tr w14:paraId="4A99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64ECB738">
            <w:pPr>
              <w:spacing w:line="360" w:lineRule="auto"/>
              <w:jc w:val="both"/>
            </w:pPr>
          </w:p>
        </w:tc>
        <w:tc>
          <w:tcPr>
            <w:tcW w:w="1296" w:type="dxa"/>
            <w:vMerge w:val="continue"/>
            <w:vAlign w:val="center"/>
          </w:tcPr>
          <w:p w14:paraId="3C7A7511">
            <w:pPr>
              <w:spacing w:line="360" w:lineRule="auto"/>
              <w:jc w:val="both"/>
            </w:pPr>
          </w:p>
        </w:tc>
        <w:tc>
          <w:tcPr>
            <w:tcW w:w="814" w:type="dxa"/>
            <w:vMerge w:val="continue"/>
            <w:vAlign w:val="center"/>
          </w:tcPr>
          <w:p w14:paraId="728A0943">
            <w:pPr>
              <w:spacing w:line="360" w:lineRule="auto"/>
              <w:jc w:val="both"/>
            </w:pPr>
          </w:p>
        </w:tc>
        <w:tc>
          <w:tcPr>
            <w:tcW w:w="5649" w:type="dxa"/>
            <w:shd w:val="clear" w:color="auto" w:fill="auto"/>
          </w:tcPr>
          <w:p w14:paraId="29EA8A5C">
            <w:pPr>
              <w:spacing w:line="360" w:lineRule="auto"/>
              <w:jc w:val="both"/>
            </w:pPr>
            <w:r>
              <w:t>支持导出缺陷/病历列表</w:t>
            </w:r>
          </w:p>
        </w:tc>
      </w:tr>
      <w:tr w14:paraId="0790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063C3BD8">
            <w:pPr>
              <w:spacing w:line="360" w:lineRule="auto"/>
              <w:jc w:val="both"/>
            </w:pPr>
          </w:p>
        </w:tc>
        <w:tc>
          <w:tcPr>
            <w:tcW w:w="1296" w:type="dxa"/>
            <w:vMerge w:val="continue"/>
            <w:vAlign w:val="center"/>
          </w:tcPr>
          <w:p w14:paraId="1D70D092">
            <w:pPr>
              <w:spacing w:line="360" w:lineRule="auto"/>
              <w:jc w:val="both"/>
            </w:pPr>
          </w:p>
        </w:tc>
        <w:tc>
          <w:tcPr>
            <w:tcW w:w="814" w:type="dxa"/>
            <w:vMerge w:val="continue"/>
            <w:vAlign w:val="center"/>
          </w:tcPr>
          <w:p w14:paraId="5DBDA3A0">
            <w:pPr>
              <w:spacing w:line="360" w:lineRule="auto"/>
              <w:jc w:val="both"/>
            </w:pPr>
          </w:p>
        </w:tc>
        <w:tc>
          <w:tcPr>
            <w:tcW w:w="5649" w:type="dxa"/>
            <w:shd w:val="clear" w:color="auto" w:fill="auto"/>
          </w:tcPr>
          <w:p w14:paraId="23A76652">
            <w:pPr>
              <w:spacing w:line="360" w:lineRule="auto"/>
              <w:jc w:val="both"/>
            </w:pPr>
            <w:r>
              <w:t>支持导出病历的缺陷详情</w:t>
            </w:r>
          </w:p>
        </w:tc>
      </w:tr>
      <w:tr w14:paraId="1C0B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5A733466">
            <w:pPr>
              <w:spacing w:line="360" w:lineRule="auto"/>
              <w:jc w:val="both"/>
            </w:pPr>
          </w:p>
        </w:tc>
        <w:tc>
          <w:tcPr>
            <w:tcW w:w="1296" w:type="dxa"/>
            <w:vMerge w:val="continue"/>
            <w:vAlign w:val="center"/>
          </w:tcPr>
          <w:p w14:paraId="2975F7AD">
            <w:pPr>
              <w:spacing w:line="360" w:lineRule="auto"/>
              <w:jc w:val="both"/>
            </w:pPr>
          </w:p>
        </w:tc>
        <w:tc>
          <w:tcPr>
            <w:tcW w:w="814" w:type="dxa"/>
            <w:vMerge w:val="restart"/>
            <w:shd w:val="clear" w:color="auto" w:fill="auto"/>
          </w:tcPr>
          <w:p w14:paraId="379E0D8A">
            <w:pPr>
              <w:spacing w:line="360" w:lineRule="auto"/>
              <w:jc w:val="both"/>
            </w:pPr>
            <w:r>
              <w:t>病历筛选</w:t>
            </w:r>
          </w:p>
        </w:tc>
        <w:tc>
          <w:tcPr>
            <w:tcW w:w="5649" w:type="dxa"/>
            <w:shd w:val="clear" w:color="auto" w:fill="auto"/>
          </w:tcPr>
          <w:p w14:paraId="1D4A43EB">
            <w:pPr>
              <w:spacing w:line="360" w:lineRule="auto"/>
              <w:jc w:val="both"/>
            </w:pPr>
            <w:r>
              <w:t>支持按照住院号/病案号、入院日期查询缺陷/病历</w:t>
            </w:r>
          </w:p>
        </w:tc>
      </w:tr>
      <w:tr w14:paraId="125C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3010389A">
            <w:pPr>
              <w:spacing w:line="360" w:lineRule="auto"/>
              <w:jc w:val="both"/>
            </w:pPr>
          </w:p>
        </w:tc>
        <w:tc>
          <w:tcPr>
            <w:tcW w:w="1296" w:type="dxa"/>
            <w:vMerge w:val="continue"/>
            <w:vAlign w:val="center"/>
          </w:tcPr>
          <w:p w14:paraId="211192B4">
            <w:pPr>
              <w:spacing w:line="360" w:lineRule="auto"/>
              <w:jc w:val="both"/>
            </w:pPr>
          </w:p>
        </w:tc>
        <w:tc>
          <w:tcPr>
            <w:tcW w:w="814" w:type="dxa"/>
            <w:vMerge w:val="continue"/>
            <w:vAlign w:val="center"/>
          </w:tcPr>
          <w:p w14:paraId="56502EB8">
            <w:pPr>
              <w:spacing w:line="360" w:lineRule="auto"/>
              <w:jc w:val="both"/>
            </w:pPr>
          </w:p>
        </w:tc>
        <w:tc>
          <w:tcPr>
            <w:tcW w:w="5649" w:type="dxa"/>
            <w:shd w:val="clear" w:color="auto" w:fill="auto"/>
          </w:tcPr>
          <w:p w14:paraId="471360B1">
            <w:pPr>
              <w:spacing w:line="360" w:lineRule="auto"/>
              <w:jc w:val="both"/>
            </w:pPr>
            <w:r>
              <w:t>支持缺陷高级筛选功能，可按照科室/病区、缺陷类型/文书/质控点名称、重点病历类型、诊断/手术名称等筛选相关缺陷</w:t>
            </w:r>
          </w:p>
        </w:tc>
      </w:tr>
      <w:tr w14:paraId="483B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78F4903C">
            <w:pPr>
              <w:spacing w:line="360" w:lineRule="auto"/>
              <w:jc w:val="both"/>
            </w:pPr>
          </w:p>
        </w:tc>
        <w:tc>
          <w:tcPr>
            <w:tcW w:w="1296" w:type="dxa"/>
            <w:vMerge w:val="continue"/>
            <w:vAlign w:val="center"/>
          </w:tcPr>
          <w:p w14:paraId="5EDD4673">
            <w:pPr>
              <w:spacing w:line="360" w:lineRule="auto"/>
              <w:jc w:val="both"/>
            </w:pPr>
          </w:p>
        </w:tc>
        <w:tc>
          <w:tcPr>
            <w:tcW w:w="814" w:type="dxa"/>
            <w:vMerge w:val="continue"/>
            <w:vAlign w:val="center"/>
          </w:tcPr>
          <w:p w14:paraId="3135CF9B">
            <w:pPr>
              <w:spacing w:line="360" w:lineRule="auto"/>
              <w:jc w:val="both"/>
            </w:pPr>
          </w:p>
        </w:tc>
        <w:tc>
          <w:tcPr>
            <w:tcW w:w="5649" w:type="dxa"/>
            <w:shd w:val="clear" w:color="auto" w:fill="auto"/>
          </w:tcPr>
          <w:p w14:paraId="7336C35D">
            <w:pPr>
              <w:spacing w:line="360" w:lineRule="auto"/>
              <w:jc w:val="both"/>
            </w:pPr>
            <w:r>
              <w:t>支持病历高级筛选功能，可按照病历基本信息（如科室/病区、住院天数、入院途径、离院方式等）、诊疗信息（如入院/出院/病历诊断名称、手术操作名称、手术级别等）、重点病历信息（如死亡/危重/疑难/手术/输血病历、住院天数&gt;7日病历、一级护理天数&gt;3日病历等）、质控结果信息（如缺陷类型、缺陷单据、质控点名称、病历评分、病历等级等）、病历审核信息（如审核状态、是否催办等）、费用信息（如总费用、药耗占比等）筛选相关病历</w:t>
            </w:r>
          </w:p>
        </w:tc>
      </w:tr>
      <w:tr w14:paraId="7AD5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233B9262">
            <w:pPr>
              <w:spacing w:line="360" w:lineRule="auto"/>
              <w:jc w:val="both"/>
            </w:pPr>
          </w:p>
        </w:tc>
        <w:tc>
          <w:tcPr>
            <w:tcW w:w="1296" w:type="dxa"/>
            <w:vMerge w:val="continue"/>
            <w:vAlign w:val="center"/>
          </w:tcPr>
          <w:p w14:paraId="2FED6188">
            <w:pPr>
              <w:spacing w:line="360" w:lineRule="auto"/>
              <w:jc w:val="both"/>
            </w:pPr>
          </w:p>
        </w:tc>
        <w:tc>
          <w:tcPr>
            <w:tcW w:w="814" w:type="dxa"/>
            <w:vMerge w:val="restart"/>
            <w:shd w:val="clear" w:color="auto" w:fill="auto"/>
          </w:tcPr>
          <w:p w14:paraId="0EA0227A">
            <w:pPr>
              <w:spacing w:line="360" w:lineRule="auto"/>
              <w:jc w:val="both"/>
            </w:pPr>
            <w:r>
              <w:t>机器质控</w:t>
            </w:r>
          </w:p>
        </w:tc>
        <w:tc>
          <w:tcPr>
            <w:tcW w:w="5649" w:type="dxa"/>
            <w:shd w:val="clear" w:color="auto" w:fill="auto"/>
          </w:tcPr>
          <w:p w14:paraId="04AA8ED9">
            <w:pPr>
              <w:spacing w:line="360" w:lineRule="auto"/>
              <w:jc w:val="both"/>
            </w:pPr>
            <w:r>
              <w:t>支持机器每天对运行病历进行形式质控，可对单个单据的内容完整性、时效性进行智能判断和评分，例如：</w:t>
            </w:r>
          </w:p>
          <w:p w14:paraId="7014B91A">
            <w:pPr>
              <w:spacing w:line="360" w:lineRule="auto"/>
              <w:jc w:val="both"/>
            </w:pPr>
            <w:r>
              <w:t>完整性：入院记录缺失；首次病程记录缺失；术前小结缺失；麻醉知情同意书缺失等。</w:t>
            </w:r>
          </w:p>
          <w:p w14:paraId="3361B012">
            <w:pPr>
              <w:spacing w:line="360" w:lineRule="auto"/>
              <w:jc w:val="both"/>
            </w:pPr>
            <w:r>
              <w:t>时效性：首次病程记录未在患者入院后8小时内完成；病危患者病程记录少于每天1次等。</w:t>
            </w:r>
          </w:p>
        </w:tc>
      </w:tr>
      <w:tr w14:paraId="4D7D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62822791">
            <w:pPr>
              <w:spacing w:line="360" w:lineRule="auto"/>
              <w:jc w:val="both"/>
            </w:pPr>
          </w:p>
        </w:tc>
        <w:tc>
          <w:tcPr>
            <w:tcW w:w="1296" w:type="dxa"/>
            <w:vMerge w:val="continue"/>
            <w:vAlign w:val="center"/>
          </w:tcPr>
          <w:p w14:paraId="5F181933">
            <w:pPr>
              <w:spacing w:line="360" w:lineRule="auto"/>
              <w:jc w:val="both"/>
            </w:pPr>
          </w:p>
        </w:tc>
        <w:tc>
          <w:tcPr>
            <w:tcW w:w="814" w:type="dxa"/>
            <w:vMerge w:val="continue"/>
            <w:vAlign w:val="center"/>
          </w:tcPr>
          <w:p w14:paraId="47F86F73">
            <w:pPr>
              <w:spacing w:line="360" w:lineRule="auto"/>
              <w:jc w:val="both"/>
            </w:pPr>
          </w:p>
        </w:tc>
        <w:tc>
          <w:tcPr>
            <w:tcW w:w="5649" w:type="dxa"/>
            <w:shd w:val="clear" w:color="auto" w:fill="auto"/>
          </w:tcPr>
          <w:p w14:paraId="1CCD97C2">
            <w:pPr>
              <w:spacing w:line="360" w:lineRule="auto"/>
              <w:jc w:val="both"/>
            </w:pPr>
            <w:r>
              <w:t>支持机器每天对运行病历进行内涵质控，可通过NLU、知识图谱、知识推理等能力智能分析病历内容，跨单据进行内容完整性、一致性、合理性、规范性、雷同性等进行智能判断和评分。例如：</w:t>
            </w:r>
          </w:p>
          <w:p w14:paraId="2381F257">
            <w:pPr>
              <w:spacing w:line="360" w:lineRule="auto"/>
              <w:jc w:val="both"/>
            </w:pPr>
            <w:r>
              <w:t>1）内容完整性：入院记录-主诉未包含患者就诊的主要症状(或体征)的持续时间；入院记录-既往史缺少手术史；抢救记录缺参加人员；查房记录-出院前一天或当天缺上级医师同意出院的记录；出院记录-出院带药未具体写出具体服用方法等。</w:t>
            </w:r>
          </w:p>
          <w:p w14:paraId="3754FDFD">
            <w:pPr>
              <w:spacing w:line="360" w:lineRule="auto"/>
              <w:jc w:val="both"/>
            </w:pPr>
            <w:r>
              <w:t>2）一致性：入院记录-主诉中症状(或体征)的发生时间与年龄不一致；</w:t>
            </w:r>
            <w:r>
              <w:rPr>
                <w:color w:val="000000"/>
              </w:rPr>
              <w:t>入院记录中症状（体征）的部位在现病史与主诉不相关、不相符；</w:t>
            </w:r>
            <w:r>
              <w:t>入院记录-既往史中疾病表述与女性人群不一致；首次病程记录-鉴别诊断中疾病表述与年龄人群不一致等</w:t>
            </w:r>
          </w:p>
          <w:p w14:paraId="4984D00B">
            <w:pPr>
              <w:spacing w:line="360" w:lineRule="auto"/>
              <w:jc w:val="both"/>
            </w:pPr>
            <w:r>
              <w:t>3）合理性：入院记录-主诉未能导出第一诊断；入院记录-月经史-男性患者不该有月经描述等。</w:t>
            </w:r>
          </w:p>
          <w:p w14:paraId="4FBA4373">
            <w:pPr>
              <w:spacing w:line="360" w:lineRule="auto"/>
              <w:jc w:val="both"/>
            </w:pPr>
            <w:r>
              <w:t>4）规范性：入院记录-主诉用诊断代替，而在现病史中发现有症状；首次病程记录-诊疗计划缺少具体方案；抢救记录-抢救时间未具体到分钟；手术记录-记录者非手术者或一助等。</w:t>
            </w:r>
          </w:p>
          <w:p w14:paraId="1331A96B">
            <w:pPr>
              <w:spacing w:line="360" w:lineRule="auto"/>
              <w:jc w:val="both"/>
              <w:rPr>
                <w:highlight w:val="none"/>
              </w:rPr>
            </w:pPr>
            <w:r>
              <w:t>5）雷同性：首次病程记录-病例特点复制入院记录-现病史；查房记录-主治医师首次查房内容复制拟诊讨论；交班记录与接班记录雷同；多个日常病程记录间</w:t>
            </w:r>
            <w:r>
              <w:rPr>
                <w:highlight w:val="none"/>
              </w:rPr>
              <w:t>内容互相复制等。</w:t>
            </w:r>
          </w:p>
          <w:p w14:paraId="18D4E6E7">
            <w:pPr>
              <w:spacing w:line="360" w:lineRule="auto"/>
              <w:jc w:val="both"/>
              <w:rPr>
                <w:rFonts w:hint="default" w:eastAsia="宋体"/>
                <w:lang w:val="en-US" w:eastAsia="zh-CN"/>
              </w:rPr>
            </w:pPr>
            <w:r>
              <w:rPr>
                <w:rFonts w:hint="eastAsia"/>
                <w:highlight w:val="none"/>
                <w:lang w:val="en-US" w:eastAsia="zh-CN"/>
              </w:rPr>
              <w:t>6）专科质控：如产科、眼科、肿瘤等</w:t>
            </w:r>
            <w:r>
              <w:rPr>
                <w:rFonts w:hint="eastAsia" w:ascii="宋体" w:hAnsi="宋体"/>
                <w:highlight w:val="none"/>
              </w:rPr>
              <w:t>相关的专科质控规则</w:t>
            </w:r>
          </w:p>
        </w:tc>
      </w:tr>
      <w:tr w14:paraId="43FC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32CCB0C7">
            <w:pPr>
              <w:spacing w:line="360" w:lineRule="auto"/>
              <w:jc w:val="both"/>
            </w:pPr>
          </w:p>
        </w:tc>
        <w:tc>
          <w:tcPr>
            <w:tcW w:w="1296" w:type="dxa"/>
            <w:vMerge w:val="continue"/>
            <w:vAlign w:val="center"/>
          </w:tcPr>
          <w:p w14:paraId="078402FE">
            <w:pPr>
              <w:spacing w:line="360" w:lineRule="auto"/>
              <w:jc w:val="both"/>
            </w:pPr>
          </w:p>
        </w:tc>
        <w:tc>
          <w:tcPr>
            <w:tcW w:w="814" w:type="dxa"/>
            <w:vMerge w:val="restart"/>
            <w:shd w:val="clear" w:color="auto" w:fill="auto"/>
          </w:tcPr>
          <w:p w14:paraId="332CDDDA">
            <w:pPr>
              <w:spacing w:line="360" w:lineRule="auto"/>
              <w:jc w:val="both"/>
            </w:pPr>
            <w:r>
              <w:t>人工质控</w:t>
            </w:r>
          </w:p>
        </w:tc>
        <w:tc>
          <w:tcPr>
            <w:tcW w:w="5649" w:type="dxa"/>
            <w:shd w:val="clear" w:color="auto" w:fill="auto"/>
          </w:tcPr>
          <w:p w14:paraId="47B31937">
            <w:pPr>
              <w:spacing w:line="360" w:lineRule="auto"/>
              <w:jc w:val="both"/>
            </w:pPr>
            <w:r>
              <w:t>支持查看机器质控结果，并基于此对病历缺陷进行删除或人工新增</w:t>
            </w:r>
          </w:p>
        </w:tc>
      </w:tr>
      <w:tr w14:paraId="1CEE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15E8896A">
            <w:pPr>
              <w:spacing w:line="360" w:lineRule="auto"/>
              <w:jc w:val="both"/>
            </w:pPr>
          </w:p>
        </w:tc>
        <w:tc>
          <w:tcPr>
            <w:tcW w:w="1296" w:type="dxa"/>
            <w:vMerge w:val="continue"/>
            <w:vAlign w:val="center"/>
          </w:tcPr>
          <w:p w14:paraId="37274094">
            <w:pPr>
              <w:spacing w:line="360" w:lineRule="auto"/>
              <w:jc w:val="both"/>
            </w:pPr>
          </w:p>
        </w:tc>
        <w:tc>
          <w:tcPr>
            <w:tcW w:w="814" w:type="dxa"/>
            <w:vMerge w:val="continue"/>
            <w:vAlign w:val="center"/>
          </w:tcPr>
          <w:p w14:paraId="0849FAE0">
            <w:pPr>
              <w:spacing w:line="360" w:lineRule="auto"/>
              <w:jc w:val="both"/>
            </w:pPr>
          </w:p>
        </w:tc>
        <w:tc>
          <w:tcPr>
            <w:tcW w:w="5649" w:type="dxa"/>
            <w:shd w:val="clear" w:color="auto" w:fill="auto"/>
          </w:tcPr>
          <w:p w14:paraId="14B3E595">
            <w:pPr>
              <w:spacing w:line="360" w:lineRule="auto"/>
              <w:jc w:val="both"/>
            </w:pPr>
            <w:r>
              <w:t>支持新增人工质控意见时，填写缺陷单据、评分内容、缺陷类型、缺陷名称等，填写后可自动计算扣分并计入病历总分</w:t>
            </w:r>
          </w:p>
        </w:tc>
      </w:tr>
      <w:tr w14:paraId="278F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0C4304DC">
            <w:pPr>
              <w:spacing w:line="360" w:lineRule="auto"/>
              <w:jc w:val="both"/>
            </w:pPr>
          </w:p>
        </w:tc>
        <w:tc>
          <w:tcPr>
            <w:tcW w:w="1296" w:type="dxa"/>
            <w:vMerge w:val="continue"/>
            <w:vAlign w:val="center"/>
          </w:tcPr>
          <w:p w14:paraId="16E33587">
            <w:pPr>
              <w:spacing w:line="360" w:lineRule="auto"/>
              <w:jc w:val="both"/>
            </w:pPr>
          </w:p>
        </w:tc>
        <w:tc>
          <w:tcPr>
            <w:tcW w:w="814" w:type="dxa"/>
            <w:vMerge w:val="restart"/>
            <w:shd w:val="clear" w:color="auto" w:fill="auto"/>
          </w:tcPr>
          <w:p w14:paraId="6D3823A0">
            <w:pPr>
              <w:spacing w:line="360" w:lineRule="auto"/>
              <w:jc w:val="both"/>
            </w:pPr>
            <w:r>
              <w:t>质控结果操作</w:t>
            </w:r>
          </w:p>
        </w:tc>
        <w:tc>
          <w:tcPr>
            <w:tcW w:w="5649" w:type="dxa"/>
            <w:shd w:val="clear" w:color="auto" w:fill="auto"/>
          </w:tcPr>
          <w:p w14:paraId="57AF9318">
            <w:pPr>
              <w:spacing w:line="360" w:lineRule="auto"/>
              <w:jc w:val="both"/>
            </w:pPr>
            <w:r>
              <w:t>支持对缺陷进行分类展示，如单否、人工、编码等，方便快速查看重点缺陷</w:t>
            </w:r>
          </w:p>
        </w:tc>
      </w:tr>
      <w:tr w14:paraId="2E2A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4CAC46BD">
            <w:pPr>
              <w:spacing w:line="360" w:lineRule="auto"/>
              <w:jc w:val="both"/>
            </w:pPr>
          </w:p>
        </w:tc>
        <w:tc>
          <w:tcPr>
            <w:tcW w:w="1296" w:type="dxa"/>
            <w:vMerge w:val="continue"/>
            <w:vAlign w:val="center"/>
          </w:tcPr>
          <w:p w14:paraId="3E3C1727">
            <w:pPr>
              <w:spacing w:line="360" w:lineRule="auto"/>
              <w:jc w:val="both"/>
            </w:pPr>
          </w:p>
        </w:tc>
        <w:tc>
          <w:tcPr>
            <w:tcW w:w="814" w:type="dxa"/>
            <w:vMerge w:val="continue"/>
            <w:vAlign w:val="center"/>
          </w:tcPr>
          <w:p w14:paraId="1D23A056">
            <w:pPr>
              <w:spacing w:line="360" w:lineRule="auto"/>
              <w:jc w:val="both"/>
            </w:pPr>
          </w:p>
        </w:tc>
        <w:tc>
          <w:tcPr>
            <w:tcW w:w="5649" w:type="dxa"/>
            <w:shd w:val="clear" w:color="auto" w:fill="auto"/>
          </w:tcPr>
          <w:p w14:paraId="3DB18883">
            <w:pPr>
              <w:spacing w:line="360" w:lineRule="auto"/>
              <w:jc w:val="both"/>
            </w:pPr>
            <w:r>
              <w:t>支持对缺陷进行定位，点击缺陷条目后，病历文书的对应位置高亮展示</w:t>
            </w:r>
          </w:p>
        </w:tc>
      </w:tr>
      <w:tr w14:paraId="1BF3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04480E07">
            <w:pPr>
              <w:spacing w:line="360" w:lineRule="auto"/>
              <w:jc w:val="both"/>
            </w:pPr>
          </w:p>
        </w:tc>
        <w:tc>
          <w:tcPr>
            <w:tcW w:w="1296" w:type="dxa"/>
            <w:vMerge w:val="continue"/>
            <w:vAlign w:val="center"/>
          </w:tcPr>
          <w:p w14:paraId="46AE2C2B">
            <w:pPr>
              <w:spacing w:line="360" w:lineRule="auto"/>
              <w:jc w:val="both"/>
            </w:pPr>
          </w:p>
        </w:tc>
        <w:tc>
          <w:tcPr>
            <w:tcW w:w="814" w:type="dxa"/>
            <w:vMerge w:val="continue"/>
            <w:vAlign w:val="center"/>
          </w:tcPr>
          <w:p w14:paraId="36AF9B85">
            <w:pPr>
              <w:spacing w:line="360" w:lineRule="auto"/>
              <w:jc w:val="both"/>
            </w:pPr>
          </w:p>
        </w:tc>
        <w:tc>
          <w:tcPr>
            <w:tcW w:w="5649" w:type="dxa"/>
            <w:shd w:val="clear" w:color="auto" w:fill="auto"/>
          </w:tcPr>
          <w:p w14:paraId="02841D45">
            <w:pPr>
              <w:spacing w:line="360" w:lineRule="auto"/>
              <w:jc w:val="both"/>
            </w:pPr>
            <w:r>
              <w:t>支持对临床申诉进行通过或驳回操作，并支持填写驳回理由，驳回后，医生端会收到通知</w:t>
            </w:r>
          </w:p>
        </w:tc>
      </w:tr>
      <w:tr w14:paraId="59FF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6443B1B1">
            <w:pPr>
              <w:spacing w:line="360" w:lineRule="auto"/>
              <w:jc w:val="both"/>
            </w:pPr>
          </w:p>
        </w:tc>
        <w:tc>
          <w:tcPr>
            <w:tcW w:w="1296" w:type="dxa"/>
            <w:vMerge w:val="continue"/>
            <w:vAlign w:val="center"/>
          </w:tcPr>
          <w:p w14:paraId="19841E95">
            <w:pPr>
              <w:spacing w:line="360" w:lineRule="auto"/>
              <w:jc w:val="both"/>
            </w:pPr>
          </w:p>
        </w:tc>
        <w:tc>
          <w:tcPr>
            <w:tcW w:w="814" w:type="dxa"/>
            <w:vMerge w:val="continue"/>
            <w:vAlign w:val="center"/>
          </w:tcPr>
          <w:p w14:paraId="5216F6B5">
            <w:pPr>
              <w:spacing w:line="360" w:lineRule="auto"/>
              <w:jc w:val="both"/>
            </w:pPr>
          </w:p>
        </w:tc>
        <w:tc>
          <w:tcPr>
            <w:tcW w:w="5649" w:type="dxa"/>
            <w:shd w:val="clear" w:color="auto" w:fill="auto"/>
          </w:tcPr>
          <w:p w14:paraId="246583A9">
            <w:pPr>
              <w:spacing w:line="360" w:lineRule="auto"/>
              <w:jc w:val="both"/>
            </w:pPr>
            <w:r>
              <w:t>支持对缺陷和病历进行催办操作，点击催办后，医生端将收到通知</w:t>
            </w:r>
          </w:p>
        </w:tc>
      </w:tr>
      <w:tr w14:paraId="19DF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21EBCEC6">
            <w:pPr>
              <w:spacing w:line="360" w:lineRule="auto"/>
              <w:jc w:val="both"/>
            </w:pPr>
          </w:p>
        </w:tc>
        <w:tc>
          <w:tcPr>
            <w:tcW w:w="1296" w:type="dxa"/>
            <w:vMerge w:val="continue"/>
            <w:vAlign w:val="center"/>
          </w:tcPr>
          <w:p w14:paraId="6D50F7A1">
            <w:pPr>
              <w:spacing w:line="360" w:lineRule="auto"/>
              <w:jc w:val="both"/>
            </w:pPr>
          </w:p>
        </w:tc>
        <w:tc>
          <w:tcPr>
            <w:tcW w:w="814" w:type="dxa"/>
            <w:vMerge w:val="continue"/>
            <w:vAlign w:val="center"/>
          </w:tcPr>
          <w:p w14:paraId="3A1ED15A">
            <w:pPr>
              <w:spacing w:line="360" w:lineRule="auto"/>
              <w:jc w:val="both"/>
            </w:pPr>
          </w:p>
        </w:tc>
        <w:tc>
          <w:tcPr>
            <w:tcW w:w="5649" w:type="dxa"/>
            <w:shd w:val="clear" w:color="auto" w:fill="auto"/>
          </w:tcPr>
          <w:p w14:paraId="545BD21C">
            <w:pPr>
              <w:spacing w:line="360" w:lineRule="auto"/>
              <w:jc w:val="both"/>
            </w:pPr>
            <w:r>
              <w:t>支持对病历进行审核通过和审核存疑操作，点击审核存疑，医生端会收到通知</w:t>
            </w:r>
          </w:p>
        </w:tc>
      </w:tr>
      <w:tr w14:paraId="393A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4950EE90">
            <w:pPr>
              <w:spacing w:line="360" w:lineRule="auto"/>
              <w:jc w:val="both"/>
            </w:pPr>
          </w:p>
        </w:tc>
        <w:tc>
          <w:tcPr>
            <w:tcW w:w="1296" w:type="dxa"/>
            <w:vMerge w:val="continue"/>
            <w:vAlign w:val="center"/>
          </w:tcPr>
          <w:p w14:paraId="74AB3B17">
            <w:pPr>
              <w:spacing w:line="360" w:lineRule="auto"/>
              <w:jc w:val="both"/>
            </w:pPr>
          </w:p>
        </w:tc>
        <w:tc>
          <w:tcPr>
            <w:tcW w:w="814" w:type="dxa"/>
            <w:vMerge w:val="continue"/>
            <w:vAlign w:val="center"/>
          </w:tcPr>
          <w:p w14:paraId="51FF1436">
            <w:pPr>
              <w:spacing w:line="360" w:lineRule="auto"/>
              <w:jc w:val="both"/>
            </w:pPr>
          </w:p>
        </w:tc>
        <w:tc>
          <w:tcPr>
            <w:tcW w:w="5649" w:type="dxa"/>
            <w:shd w:val="clear" w:color="auto" w:fill="auto"/>
          </w:tcPr>
          <w:p w14:paraId="646FC99D">
            <w:pPr>
              <w:spacing w:line="360" w:lineRule="auto"/>
              <w:jc w:val="both"/>
            </w:pPr>
            <w:r>
              <w:t>支持查看近七天病历的质控操作记录</w:t>
            </w:r>
          </w:p>
        </w:tc>
      </w:tr>
      <w:tr w14:paraId="33F0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022F2D07">
            <w:pPr>
              <w:spacing w:line="360" w:lineRule="auto"/>
              <w:jc w:val="both"/>
            </w:pPr>
          </w:p>
        </w:tc>
        <w:tc>
          <w:tcPr>
            <w:tcW w:w="1296" w:type="dxa"/>
            <w:vMerge w:val="continue"/>
            <w:vAlign w:val="center"/>
          </w:tcPr>
          <w:p w14:paraId="0141817C">
            <w:pPr>
              <w:spacing w:line="360" w:lineRule="auto"/>
              <w:jc w:val="both"/>
            </w:pPr>
          </w:p>
        </w:tc>
        <w:tc>
          <w:tcPr>
            <w:tcW w:w="814" w:type="dxa"/>
            <w:vMerge w:val="continue"/>
            <w:vAlign w:val="center"/>
          </w:tcPr>
          <w:p w14:paraId="63539F50">
            <w:pPr>
              <w:spacing w:line="360" w:lineRule="auto"/>
              <w:jc w:val="both"/>
            </w:pPr>
          </w:p>
        </w:tc>
        <w:tc>
          <w:tcPr>
            <w:tcW w:w="5649" w:type="dxa"/>
            <w:shd w:val="clear" w:color="auto" w:fill="auto"/>
          </w:tcPr>
          <w:p w14:paraId="369590EF">
            <w:pPr>
              <w:spacing w:line="360" w:lineRule="auto"/>
              <w:jc w:val="both"/>
            </w:pPr>
            <w:r>
              <w:t>支持整体查看一个病历里的所有扣分缺陷，并支持导出扣分缺陷列表</w:t>
            </w:r>
          </w:p>
        </w:tc>
      </w:tr>
      <w:tr w14:paraId="72E2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5F69BFF2">
            <w:pPr>
              <w:spacing w:line="360" w:lineRule="auto"/>
              <w:jc w:val="both"/>
            </w:pPr>
          </w:p>
        </w:tc>
        <w:tc>
          <w:tcPr>
            <w:tcW w:w="1296" w:type="dxa"/>
            <w:vMerge w:val="continue"/>
            <w:vAlign w:val="center"/>
          </w:tcPr>
          <w:p w14:paraId="3880170F">
            <w:pPr>
              <w:spacing w:line="360" w:lineRule="auto"/>
              <w:jc w:val="both"/>
            </w:pPr>
          </w:p>
        </w:tc>
        <w:tc>
          <w:tcPr>
            <w:tcW w:w="814" w:type="dxa"/>
            <w:vMerge w:val="restart"/>
            <w:shd w:val="clear" w:color="auto" w:fill="auto"/>
          </w:tcPr>
          <w:p w14:paraId="2B9EE199">
            <w:pPr>
              <w:spacing w:line="360" w:lineRule="auto"/>
              <w:jc w:val="both"/>
            </w:pPr>
            <w:r>
              <w:t>个性化配置</w:t>
            </w:r>
          </w:p>
        </w:tc>
        <w:tc>
          <w:tcPr>
            <w:tcW w:w="5649" w:type="dxa"/>
            <w:shd w:val="clear" w:color="auto" w:fill="auto"/>
          </w:tcPr>
          <w:p w14:paraId="183AAE07">
            <w:pPr>
              <w:spacing w:line="360" w:lineRule="auto"/>
              <w:jc w:val="both"/>
            </w:pPr>
            <w:r>
              <w:t>支持缺陷/病历快捷模板功能，可将常用的筛选条件保存为快捷筛选模板，质控人员进入该页面时，直接点击快捷模板按钮，即可一次性筛选出想查看的缺陷和病历</w:t>
            </w:r>
          </w:p>
        </w:tc>
      </w:tr>
      <w:tr w14:paraId="45F0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31FB2113">
            <w:pPr>
              <w:spacing w:line="360" w:lineRule="auto"/>
              <w:jc w:val="both"/>
            </w:pPr>
          </w:p>
        </w:tc>
        <w:tc>
          <w:tcPr>
            <w:tcW w:w="1296" w:type="dxa"/>
            <w:vMerge w:val="continue"/>
            <w:vAlign w:val="center"/>
          </w:tcPr>
          <w:p w14:paraId="6CADB957">
            <w:pPr>
              <w:spacing w:line="360" w:lineRule="auto"/>
              <w:jc w:val="both"/>
            </w:pPr>
          </w:p>
        </w:tc>
        <w:tc>
          <w:tcPr>
            <w:tcW w:w="814" w:type="dxa"/>
            <w:vMerge w:val="continue"/>
            <w:vAlign w:val="center"/>
          </w:tcPr>
          <w:p w14:paraId="13CDCB49">
            <w:pPr>
              <w:spacing w:line="360" w:lineRule="auto"/>
              <w:jc w:val="both"/>
            </w:pPr>
          </w:p>
        </w:tc>
        <w:tc>
          <w:tcPr>
            <w:tcW w:w="5649" w:type="dxa"/>
            <w:shd w:val="clear" w:color="auto" w:fill="auto"/>
          </w:tcPr>
          <w:p w14:paraId="18658422">
            <w:pPr>
              <w:spacing w:line="360" w:lineRule="auto"/>
              <w:jc w:val="both"/>
            </w:pPr>
            <w:r>
              <w:t>支持自定义缺陷/病历列表的表头，可根据质控人员使用习惯，自行设置表头，方便快捷筛选和查看对应的缺陷和病历</w:t>
            </w:r>
          </w:p>
        </w:tc>
      </w:tr>
      <w:tr w14:paraId="218D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restart"/>
            <w:shd w:val="clear" w:color="auto" w:fill="auto"/>
          </w:tcPr>
          <w:p w14:paraId="20B271F1">
            <w:pPr>
              <w:spacing w:line="360" w:lineRule="auto"/>
              <w:jc w:val="both"/>
            </w:pPr>
            <w:r>
              <w:t>5</w:t>
            </w:r>
          </w:p>
        </w:tc>
        <w:tc>
          <w:tcPr>
            <w:tcW w:w="1296" w:type="dxa"/>
            <w:vMerge w:val="restart"/>
            <w:shd w:val="clear" w:color="auto" w:fill="auto"/>
          </w:tcPr>
          <w:p w14:paraId="600F4D7F">
            <w:pPr>
              <w:spacing w:line="360" w:lineRule="auto"/>
              <w:jc w:val="both"/>
            </w:pPr>
            <w:r>
              <w:t>抽样任务管理</w:t>
            </w:r>
          </w:p>
        </w:tc>
        <w:tc>
          <w:tcPr>
            <w:tcW w:w="814" w:type="dxa"/>
            <w:vMerge w:val="restart"/>
            <w:shd w:val="clear" w:color="auto" w:fill="auto"/>
          </w:tcPr>
          <w:p w14:paraId="5A58A417">
            <w:pPr>
              <w:spacing w:line="360" w:lineRule="auto"/>
              <w:jc w:val="both"/>
            </w:pPr>
            <w:r>
              <w:t>创建/修改任务</w:t>
            </w:r>
          </w:p>
        </w:tc>
        <w:tc>
          <w:tcPr>
            <w:tcW w:w="5649" w:type="dxa"/>
            <w:shd w:val="clear" w:color="auto" w:fill="auto"/>
          </w:tcPr>
          <w:p w14:paraId="44EC68B2">
            <w:pPr>
              <w:spacing w:line="360" w:lineRule="auto"/>
              <w:jc w:val="both"/>
            </w:pPr>
            <w:r>
              <w:t>支持质控管理人员创建质控任务，并分配质控人员和期望完成日期。病历抽样范围支持按入院日期、病历评分、缺陷类型、病历类型等选取、入院诊断等进行筛选，病历抽样方式支持总数抽样、按科室、按病历类型等抽样，任务分配方式支持保持原有质控员、按科室、按比例分配</w:t>
            </w:r>
          </w:p>
        </w:tc>
      </w:tr>
      <w:tr w14:paraId="1337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3871C8CD">
            <w:pPr>
              <w:spacing w:line="360" w:lineRule="auto"/>
              <w:jc w:val="both"/>
            </w:pPr>
          </w:p>
        </w:tc>
        <w:tc>
          <w:tcPr>
            <w:tcW w:w="1296" w:type="dxa"/>
            <w:vMerge w:val="continue"/>
            <w:vAlign w:val="center"/>
          </w:tcPr>
          <w:p w14:paraId="32A8614A">
            <w:pPr>
              <w:spacing w:line="360" w:lineRule="auto"/>
              <w:jc w:val="both"/>
            </w:pPr>
          </w:p>
        </w:tc>
        <w:tc>
          <w:tcPr>
            <w:tcW w:w="814" w:type="dxa"/>
            <w:vMerge w:val="continue"/>
            <w:vAlign w:val="center"/>
          </w:tcPr>
          <w:p w14:paraId="5692B8E2">
            <w:pPr>
              <w:spacing w:line="360" w:lineRule="auto"/>
              <w:jc w:val="both"/>
            </w:pPr>
          </w:p>
        </w:tc>
        <w:tc>
          <w:tcPr>
            <w:tcW w:w="5649" w:type="dxa"/>
            <w:shd w:val="clear" w:color="auto" w:fill="auto"/>
          </w:tcPr>
          <w:p w14:paraId="10EA6EE8">
            <w:pPr>
              <w:spacing w:line="360" w:lineRule="auto"/>
              <w:jc w:val="both"/>
            </w:pPr>
            <w:r>
              <w:t>支持创建单次任务和定时任务，并支持对创建的任务进行任务有效期和质控员的修改</w:t>
            </w:r>
          </w:p>
        </w:tc>
      </w:tr>
      <w:tr w14:paraId="7002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1A310788">
            <w:pPr>
              <w:spacing w:line="360" w:lineRule="auto"/>
              <w:jc w:val="both"/>
            </w:pPr>
          </w:p>
        </w:tc>
        <w:tc>
          <w:tcPr>
            <w:tcW w:w="1296" w:type="dxa"/>
            <w:vMerge w:val="continue"/>
            <w:vAlign w:val="center"/>
          </w:tcPr>
          <w:p w14:paraId="1EDE654B">
            <w:pPr>
              <w:spacing w:line="360" w:lineRule="auto"/>
              <w:jc w:val="both"/>
            </w:pPr>
          </w:p>
        </w:tc>
        <w:tc>
          <w:tcPr>
            <w:tcW w:w="814" w:type="dxa"/>
            <w:shd w:val="clear" w:color="auto" w:fill="auto"/>
          </w:tcPr>
          <w:p w14:paraId="5B8A0E16">
            <w:pPr>
              <w:spacing w:line="360" w:lineRule="auto"/>
              <w:jc w:val="both"/>
            </w:pPr>
            <w:r>
              <w:t>执行任务</w:t>
            </w:r>
          </w:p>
        </w:tc>
        <w:tc>
          <w:tcPr>
            <w:tcW w:w="5649" w:type="dxa"/>
            <w:shd w:val="clear" w:color="auto" w:fill="auto"/>
          </w:tcPr>
          <w:p w14:paraId="19DF80CB">
            <w:pPr>
              <w:spacing w:line="360" w:lineRule="auto"/>
              <w:jc w:val="both"/>
            </w:pPr>
            <w:r>
              <w:t>质控人员收到任务后，可在“我收到的任务”页面进行查看，点击后开始进行质控操作</w:t>
            </w:r>
          </w:p>
        </w:tc>
      </w:tr>
      <w:tr w14:paraId="74E1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restart"/>
            <w:shd w:val="clear" w:color="auto" w:fill="auto"/>
          </w:tcPr>
          <w:p w14:paraId="285E7A99">
            <w:pPr>
              <w:spacing w:line="360" w:lineRule="auto"/>
              <w:jc w:val="both"/>
            </w:pPr>
            <w:r>
              <w:t>6</w:t>
            </w:r>
          </w:p>
        </w:tc>
        <w:tc>
          <w:tcPr>
            <w:tcW w:w="1296" w:type="dxa"/>
            <w:vMerge w:val="restart"/>
            <w:shd w:val="clear" w:color="auto" w:fill="auto"/>
          </w:tcPr>
          <w:p w14:paraId="24E68668">
            <w:pPr>
              <w:spacing w:line="360" w:lineRule="auto"/>
              <w:jc w:val="both"/>
            </w:pPr>
            <w:r>
              <w:t>质控情况统计分析</w:t>
            </w:r>
          </w:p>
        </w:tc>
        <w:tc>
          <w:tcPr>
            <w:tcW w:w="814" w:type="dxa"/>
            <w:vMerge w:val="restart"/>
            <w:shd w:val="clear" w:color="auto" w:fill="auto"/>
          </w:tcPr>
          <w:p w14:paraId="69BFEEFE">
            <w:pPr>
              <w:spacing w:line="360" w:lineRule="auto"/>
              <w:jc w:val="both"/>
            </w:pPr>
            <w:r>
              <w:t>病历质量统计</w:t>
            </w:r>
          </w:p>
        </w:tc>
        <w:tc>
          <w:tcPr>
            <w:tcW w:w="5649" w:type="dxa"/>
            <w:shd w:val="clear" w:color="auto" w:fill="auto"/>
          </w:tcPr>
          <w:p w14:paraId="78D57F5B">
            <w:pPr>
              <w:spacing w:line="360" w:lineRule="auto"/>
              <w:jc w:val="both"/>
            </w:pPr>
            <w:r>
              <w:t>支持对运行病历、终末病历质控结果分别进行统计分析</w:t>
            </w:r>
          </w:p>
        </w:tc>
      </w:tr>
      <w:tr w14:paraId="1FD7115B">
        <w:tblPrEx>
          <w:tblCellMar>
            <w:top w:w="15" w:type="dxa"/>
            <w:left w:w="15" w:type="dxa"/>
            <w:bottom w:w="15" w:type="dxa"/>
            <w:right w:w="15" w:type="dxa"/>
          </w:tblCellMar>
        </w:tblPrEx>
        <w:tc>
          <w:tcPr>
            <w:tcW w:w="531" w:type="dxa"/>
            <w:vMerge w:val="continue"/>
            <w:vAlign w:val="center"/>
          </w:tcPr>
          <w:p w14:paraId="13115B51">
            <w:pPr>
              <w:spacing w:line="360" w:lineRule="auto"/>
              <w:jc w:val="both"/>
            </w:pPr>
          </w:p>
        </w:tc>
        <w:tc>
          <w:tcPr>
            <w:tcW w:w="1296" w:type="dxa"/>
            <w:vMerge w:val="continue"/>
            <w:vAlign w:val="center"/>
          </w:tcPr>
          <w:p w14:paraId="77B2867D">
            <w:pPr>
              <w:spacing w:line="360" w:lineRule="auto"/>
              <w:jc w:val="both"/>
            </w:pPr>
          </w:p>
        </w:tc>
        <w:tc>
          <w:tcPr>
            <w:tcW w:w="814" w:type="dxa"/>
            <w:vMerge w:val="continue"/>
            <w:vAlign w:val="center"/>
          </w:tcPr>
          <w:p w14:paraId="640C045C">
            <w:pPr>
              <w:spacing w:line="360" w:lineRule="auto"/>
              <w:jc w:val="both"/>
            </w:pPr>
          </w:p>
        </w:tc>
        <w:tc>
          <w:tcPr>
            <w:tcW w:w="5649" w:type="dxa"/>
            <w:shd w:val="clear" w:color="auto" w:fill="auto"/>
          </w:tcPr>
          <w:p w14:paraId="56B65845">
            <w:pPr>
              <w:spacing w:line="360" w:lineRule="auto"/>
              <w:jc w:val="both"/>
            </w:pPr>
            <w:r>
              <w:t>支持按照全院、科室、医生查看统计周期内终末病历质量统计分析，包含数据总览、缺陷详情分析和病历详情分析</w:t>
            </w:r>
          </w:p>
        </w:tc>
      </w:tr>
      <w:tr w14:paraId="4B3E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5C517BCF">
            <w:pPr>
              <w:spacing w:line="360" w:lineRule="auto"/>
              <w:jc w:val="both"/>
            </w:pPr>
          </w:p>
        </w:tc>
        <w:tc>
          <w:tcPr>
            <w:tcW w:w="1296" w:type="dxa"/>
            <w:vMerge w:val="continue"/>
            <w:vAlign w:val="center"/>
          </w:tcPr>
          <w:p w14:paraId="10988593">
            <w:pPr>
              <w:spacing w:line="360" w:lineRule="auto"/>
              <w:jc w:val="both"/>
            </w:pPr>
          </w:p>
        </w:tc>
        <w:tc>
          <w:tcPr>
            <w:tcW w:w="814" w:type="dxa"/>
            <w:vMerge w:val="continue"/>
            <w:vAlign w:val="center"/>
          </w:tcPr>
          <w:p w14:paraId="40313BA6">
            <w:pPr>
              <w:spacing w:line="360" w:lineRule="auto"/>
              <w:jc w:val="both"/>
            </w:pPr>
          </w:p>
        </w:tc>
        <w:tc>
          <w:tcPr>
            <w:tcW w:w="5649" w:type="dxa"/>
            <w:shd w:val="clear" w:color="auto" w:fill="auto"/>
          </w:tcPr>
          <w:p w14:paraId="40BFD619">
            <w:pPr>
              <w:spacing w:line="360" w:lineRule="auto"/>
              <w:jc w:val="both"/>
            </w:pPr>
            <w:r>
              <w:t>运行及终末病历质控数据概览包括病历总数、病历平均分、审核通过病历数、缺陷总数、人工质控缺陷数等。</w:t>
            </w:r>
          </w:p>
        </w:tc>
      </w:tr>
      <w:tr w14:paraId="08B1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7D8DB1B1">
            <w:pPr>
              <w:spacing w:line="360" w:lineRule="auto"/>
              <w:jc w:val="both"/>
            </w:pPr>
          </w:p>
        </w:tc>
        <w:tc>
          <w:tcPr>
            <w:tcW w:w="1296" w:type="dxa"/>
            <w:vMerge w:val="continue"/>
            <w:vAlign w:val="center"/>
          </w:tcPr>
          <w:p w14:paraId="2EF9684F">
            <w:pPr>
              <w:spacing w:line="360" w:lineRule="auto"/>
              <w:jc w:val="both"/>
            </w:pPr>
          </w:p>
        </w:tc>
        <w:tc>
          <w:tcPr>
            <w:tcW w:w="814" w:type="dxa"/>
            <w:vMerge w:val="continue"/>
            <w:vAlign w:val="center"/>
          </w:tcPr>
          <w:p w14:paraId="6D1599F0">
            <w:pPr>
              <w:spacing w:line="360" w:lineRule="auto"/>
              <w:jc w:val="both"/>
            </w:pPr>
          </w:p>
        </w:tc>
        <w:tc>
          <w:tcPr>
            <w:tcW w:w="5649" w:type="dxa"/>
            <w:shd w:val="clear" w:color="auto" w:fill="auto"/>
          </w:tcPr>
          <w:p w14:paraId="4DCA2D32">
            <w:pPr>
              <w:spacing w:line="360" w:lineRule="auto"/>
              <w:jc w:val="both"/>
            </w:pPr>
            <w:r>
              <w:t>支持按科室、医生维度对缺陷总数、人均缺陷数、病历等级、病历平均分进行排名</w:t>
            </w:r>
          </w:p>
        </w:tc>
      </w:tr>
      <w:tr w14:paraId="43A7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42CB0745">
            <w:pPr>
              <w:spacing w:line="360" w:lineRule="auto"/>
              <w:jc w:val="both"/>
            </w:pPr>
          </w:p>
        </w:tc>
        <w:tc>
          <w:tcPr>
            <w:tcW w:w="1296" w:type="dxa"/>
            <w:vMerge w:val="continue"/>
            <w:vAlign w:val="center"/>
          </w:tcPr>
          <w:p w14:paraId="1A10250E">
            <w:pPr>
              <w:spacing w:line="360" w:lineRule="auto"/>
              <w:jc w:val="both"/>
            </w:pPr>
          </w:p>
        </w:tc>
        <w:tc>
          <w:tcPr>
            <w:tcW w:w="814" w:type="dxa"/>
            <w:vMerge w:val="continue"/>
            <w:vAlign w:val="center"/>
          </w:tcPr>
          <w:p w14:paraId="7FB08101">
            <w:pPr>
              <w:spacing w:line="360" w:lineRule="auto"/>
              <w:jc w:val="both"/>
            </w:pPr>
          </w:p>
        </w:tc>
        <w:tc>
          <w:tcPr>
            <w:tcW w:w="5649" w:type="dxa"/>
            <w:shd w:val="clear" w:color="auto" w:fill="auto"/>
          </w:tcPr>
          <w:p w14:paraId="3CE9960E">
            <w:pPr>
              <w:spacing w:line="360" w:lineRule="auto"/>
              <w:jc w:val="both"/>
            </w:pPr>
            <w:r>
              <w:t>支持按缺陷类型对全院缺陷分布进行统计，可按照完整性、时效性、一致性、规范性、合理性等维度查看top缺陷列表</w:t>
            </w:r>
          </w:p>
        </w:tc>
      </w:tr>
      <w:tr w14:paraId="3FB6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12987202">
            <w:pPr>
              <w:spacing w:line="360" w:lineRule="auto"/>
              <w:jc w:val="both"/>
            </w:pPr>
          </w:p>
        </w:tc>
        <w:tc>
          <w:tcPr>
            <w:tcW w:w="1296" w:type="dxa"/>
            <w:vMerge w:val="continue"/>
            <w:vAlign w:val="center"/>
          </w:tcPr>
          <w:p w14:paraId="612A352C">
            <w:pPr>
              <w:spacing w:line="360" w:lineRule="auto"/>
              <w:jc w:val="both"/>
            </w:pPr>
          </w:p>
        </w:tc>
        <w:tc>
          <w:tcPr>
            <w:tcW w:w="814" w:type="dxa"/>
            <w:vMerge w:val="continue"/>
            <w:vAlign w:val="center"/>
          </w:tcPr>
          <w:p w14:paraId="72968146">
            <w:pPr>
              <w:spacing w:line="360" w:lineRule="auto"/>
              <w:jc w:val="both"/>
            </w:pPr>
          </w:p>
        </w:tc>
        <w:tc>
          <w:tcPr>
            <w:tcW w:w="5649" w:type="dxa"/>
            <w:shd w:val="clear" w:color="auto" w:fill="auto"/>
          </w:tcPr>
          <w:p w14:paraId="32D5C410">
            <w:pPr>
              <w:spacing w:line="360" w:lineRule="auto"/>
              <w:jc w:val="both"/>
            </w:pPr>
            <w:r>
              <w:t>支持按单据对全院缺陷分布进行统计，并可查看每种文书下的top缺陷列表</w:t>
            </w:r>
          </w:p>
        </w:tc>
      </w:tr>
      <w:tr w14:paraId="3B7F9F5A">
        <w:tblPrEx>
          <w:tblCellMar>
            <w:top w:w="15" w:type="dxa"/>
            <w:left w:w="15" w:type="dxa"/>
            <w:bottom w:w="15" w:type="dxa"/>
            <w:right w:w="15" w:type="dxa"/>
          </w:tblCellMar>
        </w:tblPrEx>
        <w:tc>
          <w:tcPr>
            <w:tcW w:w="531" w:type="dxa"/>
            <w:vMerge w:val="continue"/>
            <w:vAlign w:val="center"/>
          </w:tcPr>
          <w:p w14:paraId="7D4920A6">
            <w:pPr>
              <w:spacing w:line="360" w:lineRule="auto"/>
              <w:jc w:val="both"/>
            </w:pPr>
          </w:p>
        </w:tc>
        <w:tc>
          <w:tcPr>
            <w:tcW w:w="1296" w:type="dxa"/>
            <w:vMerge w:val="continue"/>
            <w:vAlign w:val="center"/>
          </w:tcPr>
          <w:p w14:paraId="131393A5">
            <w:pPr>
              <w:spacing w:line="360" w:lineRule="auto"/>
              <w:jc w:val="both"/>
            </w:pPr>
          </w:p>
        </w:tc>
        <w:tc>
          <w:tcPr>
            <w:tcW w:w="814" w:type="dxa"/>
            <w:vMerge w:val="continue"/>
            <w:vAlign w:val="center"/>
          </w:tcPr>
          <w:p w14:paraId="741630C0">
            <w:pPr>
              <w:spacing w:line="360" w:lineRule="auto"/>
              <w:jc w:val="both"/>
            </w:pPr>
          </w:p>
        </w:tc>
        <w:tc>
          <w:tcPr>
            <w:tcW w:w="5649" w:type="dxa"/>
            <w:shd w:val="clear" w:color="auto" w:fill="auto"/>
          </w:tcPr>
          <w:p w14:paraId="2FF42108">
            <w:pPr>
              <w:spacing w:line="360" w:lineRule="auto"/>
              <w:jc w:val="both"/>
            </w:pPr>
            <w:r>
              <w:t>支持按照整改状态对缺陷分布进行统计，可按照临床申诉、申诉驳回、申诉通过、待整改、已整改等进行统计。</w:t>
            </w:r>
          </w:p>
        </w:tc>
      </w:tr>
      <w:tr w14:paraId="6562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289DBCE6">
            <w:pPr>
              <w:spacing w:line="360" w:lineRule="auto"/>
              <w:jc w:val="both"/>
            </w:pPr>
          </w:p>
        </w:tc>
        <w:tc>
          <w:tcPr>
            <w:tcW w:w="1296" w:type="dxa"/>
            <w:vMerge w:val="continue"/>
            <w:vAlign w:val="center"/>
          </w:tcPr>
          <w:p w14:paraId="72A6384C">
            <w:pPr>
              <w:spacing w:line="360" w:lineRule="auto"/>
              <w:jc w:val="both"/>
            </w:pPr>
          </w:p>
        </w:tc>
        <w:tc>
          <w:tcPr>
            <w:tcW w:w="814" w:type="dxa"/>
            <w:vMerge w:val="continue"/>
            <w:vAlign w:val="center"/>
          </w:tcPr>
          <w:p w14:paraId="33EC6B91">
            <w:pPr>
              <w:spacing w:line="360" w:lineRule="auto"/>
              <w:jc w:val="both"/>
            </w:pPr>
          </w:p>
        </w:tc>
        <w:tc>
          <w:tcPr>
            <w:tcW w:w="5649" w:type="dxa"/>
            <w:shd w:val="clear" w:color="auto" w:fill="auto"/>
          </w:tcPr>
          <w:p w14:paraId="4A29A050">
            <w:pPr>
              <w:spacing w:line="360" w:lineRule="auto"/>
              <w:jc w:val="both"/>
            </w:pPr>
            <w:r>
              <w:t>支持全院各科室病历质量详情的列表统计，支持配置列表表头，支持导出列表。</w:t>
            </w:r>
          </w:p>
        </w:tc>
      </w:tr>
      <w:tr w14:paraId="6F91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733BA614">
            <w:pPr>
              <w:spacing w:line="360" w:lineRule="auto"/>
              <w:jc w:val="both"/>
            </w:pPr>
          </w:p>
        </w:tc>
        <w:tc>
          <w:tcPr>
            <w:tcW w:w="1296" w:type="dxa"/>
            <w:vMerge w:val="continue"/>
            <w:vAlign w:val="center"/>
          </w:tcPr>
          <w:p w14:paraId="70F3E2A7">
            <w:pPr>
              <w:spacing w:line="360" w:lineRule="auto"/>
              <w:jc w:val="both"/>
            </w:pPr>
          </w:p>
        </w:tc>
        <w:tc>
          <w:tcPr>
            <w:tcW w:w="814" w:type="dxa"/>
            <w:vMerge w:val="restart"/>
            <w:shd w:val="clear" w:color="auto" w:fill="auto"/>
          </w:tcPr>
          <w:p w14:paraId="5CD20F7A">
            <w:pPr>
              <w:spacing w:line="360" w:lineRule="auto"/>
              <w:jc w:val="both"/>
            </w:pPr>
            <w:r>
              <w:t>质控员工作情况统计</w:t>
            </w:r>
          </w:p>
        </w:tc>
        <w:tc>
          <w:tcPr>
            <w:tcW w:w="5649" w:type="dxa"/>
            <w:shd w:val="clear" w:color="auto" w:fill="auto"/>
          </w:tcPr>
          <w:p w14:paraId="71EA58BC">
            <w:pPr>
              <w:spacing w:line="360" w:lineRule="auto"/>
              <w:jc w:val="both"/>
            </w:pPr>
            <w:r>
              <w:t>支持质控员工作情况统计分析，包含数据概览、病历质控情况、缺陷质控情况、任务维度质控情况</w:t>
            </w:r>
          </w:p>
        </w:tc>
      </w:tr>
      <w:tr w14:paraId="3E51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60D8B3B8">
            <w:pPr>
              <w:spacing w:line="360" w:lineRule="auto"/>
              <w:jc w:val="both"/>
            </w:pPr>
          </w:p>
        </w:tc>
        <w:tc>
          <w:tcPr>
            <w:tcW w:w="1296" w:type="dxa"/>
            <w:vMerge w:val="continue"/>
            <w:vAlign w:val="center"/>
          </w:tcPr>
          <w:p w14:paraId="4E2BC682">
            <w:pPr>
              <w:spacing w:line="360" w:lineRule="auto"/>
              <w:jc w:val="both"/>
            </w:pPr>
          </w:p>
        </w:tc>
        <w:tc>
          <w:tcPr>
            <w:tcW w:w="814" w:type="dxa"/>
            <w:vMerge w:val="continue"/>
            <w:vAlign w:val="center"/>
          </w:tcPr>
          <w:p w14:paraId="31624CA8">
            <w:pPr>
              <w:spacing w:line="360" w:lineRule="auto"/>
              <w:jc w:val="both"/>
            </w:pPr>
          </w:p>
        </w:tc>
        <w:tc>
          <w:tcPr>
            <w:tcW w:w="5649" w:type="dxa"/>
            <w:shd w:val="clear" w:color="auto" w:fill="auto"/>
          </w:tcPr>
          <w:p w14:paraId="1C437F3F">
            <w:pPr>
              <w:spacing w:line="360" w:lineRule="auto"/>
              <w:jc w:val="both"/>
            </w:pPr>
            <w:r>
              <w:t>支持按照质控病历数量对质控员工作量进行统计和排名</w:t>
            </w:r>
          </w:p>
        </w:tc>
      </w:tr>
      <w:tr w14:paraId="6F3B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253BA2D7">
            <w:pPr>
              <w:spacing w:line="360" w:lineRule="auto"/>
              <w:jc w:val="both"/>
            </w:pPr>
          </w:p>
        </w:tc>
        <w:tc>
          <w:tcPr>
            <w:tcW w:w="1296" w:type="dxa"/>
            <w:vMerge w:val="continue"/>
            <w:vAlign w:val="center"/>
          </w:tcPr>
          <w:p w14:paraId="739DD88E">
            <w:pPr>
              <w:spacing w:line="360" w:lineRule="auto"/>
              <w:jc w:val="both"/>
            </w:pPr>
          </w:p>
        </w:tc>
        <w:tc>
          <w:tcPr>
            <w:tcW w:w="814" w:type="dxa"/>
            <w:vMerge w:val="continue"/>
            <w:vAlign w:val="center"/>
          </w:tcPr>
          <w:p w14:paraId="2091A482">
            <w:pPr>
              <w:spacing w:line="360" w:lineRule="auto"/>
              <w:jc w:val="both"/>
            </w:pPr>
          </w:p>
        </w:tc>
        <w:tc>
          <w:tcPr>
            <w:tcW w:w="5649" w:type="dxa"/>
            <w:shd w:val="clear" w:color="auto" w:fill="auto"/>
          </w:tcPr>
          <w:p w14:paraId="4D746524">
            <w:pPr>
              <w:spacing w:line="360" w:lineRule="auto"/>
              <w:jc w:val="both"/>
            </w:pPr>
            <w:r>
              <w:t>支持按照复审病历数对质控员工作量进行统计和排名</w:t>
            </w:r>
          </w:p>
        </w:tc>
      </w:tr>
      <w:tr w14:paraId="70D1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2E1C7DBD">
            <w:pPr>
              <w:spacing w:line="360" w:lineRule="auto"/>
              <w:jc w:val="both"/>
            </w:pPr>
          </w:p>
        </w:tc>
        <w:tc>
          <w:tcPr>
            <w:tcW w:w="1296" w:type="dxa"/>
            <w:vMerge w:val="continue"/>
            <w:vAlign w:val="center"/>
          </w:tcPr>
          <w:p w14:paraId="5910300E">
            <w:pPr>
              <w:spacing w:line="360" w:lineRule="auto"/>
              <w:jc w:val="both"/>
            </w:pPr>
          </w:p>
        </w:tc>
        <w:tc>
          <w:tcPr>
            <w:tcW w:w="814" w:type="dxa"/>
            <w:vMerge w:val="continue"/>
            <w:vAlign w:val="center"/>
          </w:tcPr>
          <w:p w14:paraId="71CC7495">
            <w:pPr>
              <w:spacing w:line="360" w:lineRule="auto"/>
              <w:jc w:val="both"/>
            </w:pPr>
          </w:p>
        </w:tc>
        <w:tc>
          <w:tcPr>
            <w:tcW w:w="5649" w:type="dxa"/>
            <w:shd w:val="clear" w:color="auto" w:fill="auto"/>
          </w:tcPr>
          <w:p w14:paraId="02E708F0">
            <w:pPr>
              <w:spacing w:line="360" w:lineRule="auto"/>
              <w:jc w:val="both"/>
            </w:pPr>
            <w:r>
              <w:t>支持按照质控缺陷数量、人工质控缺陷数量、申诉通过缺陷数量、催办缺陷数量对质控员工作量进行统计和排名</w:t>
            </w:r>
          </w:p>
        </w:tc>
      </w:tr>
      <w:tr w14:paraId="39847042">
        <w:tblPrEx>
          <w:tblCellMar>
            <w:top w:w="15" w:type="dxa"/>
            <w:left w:w="15" w:type="dxa"/>
            <w:bottom w:w="15" w:type="dxa"/>
            <w:right w:w="15" w:type="dxa"/>
          </w:tblCellMar>
        </w:tblPrEx>
        <w:tc>
          <w:tcPr>
            <w:tcW w:w="531" w:type="dxa"/>
            <w:vMerge w:val="restart"/>
            <w:shd w:val="clear" w:color="auto" w:fill="auto"/>
          </w:tcPr>
          <w:p w14:paraId="7713529D">
            <w:pPr>
              <w:spacing w:line="360" w:lineRule="auto"/>
              <w:jc w:val="both"/>
            </w:pPr>
            <w:r>
              <w:t>7</w:t>
            </w:r>
          </w:p>
        </w:tc>
        <w:tc>
          <w:tcPr>
            <w:tcW w:w="1296" w:type="dxa"/>
            <w:vMerge w:val="restart"/>
            <w:shd w:val="clear" w:color="auto" w:fill="auto"/>
          </w:tcPr>
          <w:p w14:paraId="2CA266A3">
            <w:pPr>
              <w:spacing w:line="360" w:lineRule="auto"/>
              <w:jc w:val="both"/>
            </w:pPr>
            <w:r>
              <w:t>权限管理</w:t>
            </w:r>
          </w:p>
        </w:tc>
        <w:tc>
          <w:tcPr>
            <w:tcW w:w="814" w:type="dxa"/>
            <w:shd w:val="clear" w:color="auto" w:fill="auto"/>
          </w:tcPr>
          <w:p w14:paraId="7FF19904">
            <w:pPr>
              <w:spacing w:line="360" w:lineRule="auto"/>
              <w:jc w:val="both"/>
            </w:pPr>
            <w:r>
              <w:t>用户管理</w:t>
            </w:r>
          </w:p>
        </w:tc>
        <w:tc>
          <w:tcPr>
            <w:tcW w:w="5649" w:type="dxa"/>
            <w:shd w:val="clear" w:color="auto" w:fill="auto"/>
          </w:tcPr>
          <w:p w14:paraId="216D90EA">
            <w:pPr>
              <w:spacing w:line="360" w:lineRule="auto"/>
              <w:jc w:val="both"/>
            </w:pPr>
            <w:r>
              <w:t>支持管理员对医院使用该系统的用户进行管理，包括维护用户信息（如工号、姓名、性别等）、分配角色和权限等</w:t>
            </w:r>
          </w:p>
        </w:tc>
      </w:tr>
      <w:tr w14:paraId="0B8B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71887790">
            <w:pPr>
              <w:spacing w:line="360" w:lineRule="auto"/>
              <w:jc w:val="both"/>
            </w:pPr>
          </w:p>
        </w:tc>
        <w:tc>
          <w:tcPr>
            <w:tcW w:w="1296" w:type="dxa"/>
            <w:vMerge w:val="continue"/>
            <w:vAlign w:val="center"/>
          </w:tcPr>
          <w:p w14:paraId="4BB35892">
            <w:pPr>
              <w:spacing w:line="360" w:lineRule="auto"/>
              <w:jc w:val="both"/>
            </w:pPr>
          </w:p>
        </w:tc>
        <w:tc>
          <w:tcPr>
            <w:tcW w:w="814" w:type="dxa"/>
            <w:shd w:val="clear" w:color="auto" w:fill="auto"/>
          </w:tcPr>
          <w:p w14:paraId="6426CEF7">
            <w:pPr>
              <w:spacing w:line="360" w:lineRule="auto"/>
              <w:jc w:val="both"/>
            </w:pPr>
            <w:r>
              <w:t>角色和权限管理</w:t>
            </w:r>
          </w:p>
        </w:tc>
        <w:tc>
          <w:tcPr>
            <w:tcW w:w="5649" w:type="dxa"/>
            <w:shd w:val="clear" w:color="auto" w:fill="auto"/>
          </w:tcPr>
          <w:p w14:paraId="567001AB">
            <w:pPr>
              <w:spacing w:line="360" w:lineRule="auto"/>
              <w:jc w:val="both"/>
            </w:pPr>
            <w:r>
              <w:t>支持预置角色（系统提供预置角色，如运行病历质控员）和权限，也支持用户自定义创建角色和权限，并分配给用户</w:t>
            </w:r>
          </w:p>
          <w:p w14:paraId="3E9C5FBE">
            <w:pPr>
              <w:spacing w:line="360" w:lineRule="auto"/>
              <w:jc w:val="both"/>
            </w:pPr>
            <w:r>
              <w:t>支持通过配置，实现根据角色需要，显示不同菜单、使用不同功能操作权限</w:t>
            </w:r>
          </w:p>
        </w:tc>
      </w:tr>
      <w:tr w14:paraId="5D47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restart"/>
            <w:shd w:val="clear" w:color="auto" w:fill="auto"/>
          </w:tcPr>
          <w:p w14:paraId="756C72CA">
            <w:pPr>
              <w:spacing w:line="360" w:lineRule="auto"/>
              <w:jc w:val="both"/>
            </w:pPr>
            <w:r>
              <w:t>8</w:t>
            </w:r>
          </w:p>
        </w:tc>
        <w:tc>
          <w:tcPr>
            <w:tcW w:w="1296" w:type="dxa"/>
            <w:vMerge w:val="restart"/>
            <w:shd w:val="clear" w:color="auto" w:fill="auto"/>
          </w:tcPr>
          <w:p w14:paraId="01AC8288">
            <w:pPr>
              <w:spacing w:line="360" w:lineRule="auto"/>
              <w:jc w:val="both"/>
            </w:pPr>
            <w:r>
              <w:t>账户管理</w:t>
            </w:r>
          </w:p>
        </w:tc>
        <w:tc>
          <w:tcPr>
            <w:tcW w:w="814" w:type="dxa"/>
            <w:shd w:val="clear" w:color="auto" w:fill="auto"/>
          </w:tcPr>
          <w:p w14:paraId="0F197DDE">
            <w:pPr>
              <w:spacing w:line="360" w:lineRule="auto"/>
              <w:jc w:val="both"/>
            </w:pPr>
            <w:r>
              <w:t>登录</w:t>
            </w:r>
          </w:p>
        </w:tc>
        <w:tc>
          <w:tcPr>
            <w:tcW w:w="5649" w:type="dxa"/>
            <w:shd w:val="clear" w:color="auto" w:fill="auto"/>
          </w:tcPr>
          <w:p w14:paraId="79222DEB">
            <w:pPr>
              <w:spacing w:line="360" w:lineRule="auto"/>
              <w:jc w:val="both"/>
            </w:pPr>
            <w:r>
              <w:t>支持通过账户名、密码登录</w:t>
            </w:r>
          </w:p>
        </w:tc>
      </w:tr>
      <w:tr w14:paraId="062F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 w:type="dxa"/>
            <w:vMerge w:val="continue"/>
            <w:vAlign w:val="center"/>
          </w:tcPr>
          <w:p w14:paraId="764F6808">
            <w:pPr>
              <w:spacing w:line="360" w:lineRule="auto"/>
              <w:jc w:val="both"/>
            </w:pPr>
          </w:p>
        </w:tc>
        <w:tc>
          <w:tcPr>
            <w:tcW w:w="1296" w:type="dxa"/>
            <w:vMerge w:val="continue"/>
            <w:vAlign w:val="center"/>
          </w:tcPr>
          <w:p w14:paraId="69429130">
            <w:pPr>
              <w:spacing w:line="360" w:lineRule="auto"/>
              <w:jc w:val="both"/>
            </w:pPr>
          </w:p>
        </w:tc>
        <w:tc>
          <w:tcPr>
            <w:tcW w:w="814" w:type="dxa"/>
            <w:shd w:val="clear" w:color="auto" w:fill="auto"/>
          </w:tcPr>
          <w:p w14:paraId="69972445">
            <w:pPr>
              <w:spacing w:line="360" w:lineRule="auto"/>
              <w:jc w:val="both"/>
            </w:pPr>
            <w:r>
              <w:t>修改密码</w:t>
            </w:r>
          </w:p>
        </w:tc>
        <w:tc>
          <w:tcPr>
            <w:tcW w:w="5649" w:type="dxa"/>
            <w:shd w:val="clear" w:color="auto" w:fill="auto"/>
          </w:tcPr>
          <w:p w14:paraId="7108A1D3">
            <w:pPr>
              <w:spacing w:line="360" w:lineRule="auto"/>
              <w:jc w:val="both"/>
            </w:pPr>
            <w:r>
              <w:t>支持管理员给组织成员重置、修改密码</w:t>
            </w:r>
          </w:p>
        </w:tc>
      </w:tr>
    </w:tbl>
    <w:p w14:paraId="5D14AAB7">
      <w:pPr>
        <w:pStyle w:val="10"/>
      </w:pPr>
    </w:p>
    <w:p w14:paraId="68C920E9">
      <w:pPr>
        <w:pStyle w:val="10"/>
      </w:pPr>
      <w:r>
        <w:t>2.</w:t>
      </w:r>
      <w:r>
        <w:rPr>
          <w:rFonts w:hint="eastAsia"/>
        </w:rPr>
        <w:t>项目具体要求</w:t>
      </w:r>
    </w:p>
    <w:p w14:paraId="1FDDE984">
      <w:pPr>
        <w:pStyle w:val="10"/>
      </w:pPr>
      <w:r>
        <w:rPr>
          <w:rFonts w:hint="eastAsia"/>
        </w:rPr>
        <w:t>2.1 系统实施工期</w:t>
      </w:r>
    </w:p>
    <w:p w14:paraId="37B47DA0">
      <w:pPr>
        <w:pStyle w:val="10"/>
        <w:rPr>
          <w:rFonts w:hint="eastAsia"/>
          <w:b w:val="0"/>
          <w:sz w:val="21"/>
          <w:szCs w:val="21"/>
        </w:rPr>
      </w:pPr>
      <w:r>
        <w:rPr>
          <w:rFonts w:hint="eastAsia"/>
          <w:b w:val="0"/>
          <w:sz w:val="21"/>
          <w:szCs w:val="21"/>
          <w:lang w:val="en-US" w:eastAsia="zh-CN"/>
        </w:rPr>
        <w:t xml:space="preserve">2.1.1 </w:t>
      </w:r>
      <w:r>
        <w:rPr>
          <w:rFonts w:hint="eastAsia"/>
          <w:b w:val="0"/>
          <w:sz w:val="21"/>
          <w:szCs w:val="21"/>
        </w:rPr>
        <w:t>中标方协助采购人进行基础数据录入。</w:t>
      </w:r>
    </w:p>
    <w:p w14:paraId="2D517820">
      <w:pPr>
        <w:pStyle w:val="10"/>
        <w:rPr>
          <w:rFonts w:hint="eastAsia"/>
          <w:b w:val="0"/>
          <w:sz w:val="21"/>
          <w:szCs w:val="21"/>
        </w:rPr>
      </w:pPr>
      <w:r>
        <w:rPr>
          <w:rFonts w:hint="eastAsia"/>
          <w:b w:val="0"/>
          <w:sz w:val="21"/>
          <w:szCs w:val="21"/>
          <w:lang w:val="en-US" w:eastAsia="zh-CN"/>
        </w:rPr>
        <w:t xml:space="preserve">2.1.2 </w:t>
      </w:r>
      <w:r>
        <w:rPr>
          <w:rFonts w:hint="eastAsia"/>
          <w:b w:val="0"/>
          <w:sz w:val="21"/>
          <w:szCs w:val="21"/>
        </w:rPr>
        <w:t>自签订合同之日起</w:t>
      </w:r>
      <w:r>
        <w:rPr>
          <w:b w:val="0"/>
          <w:sz w:val="21"/>
          <w:szCs w:val="21"/>
        </w:rPr>
        <w:t>9</w:t>
      </w:r>
      <w:r>
        <w:rPr>
          <w:rFonts w:hint="eastAsia"/>
          <w:b w:val="0"/>
          <w:sz w:val="21"/>
          <w:szCs w:val="21"/>
        </w:rPr>
        <w:t>个月内上线调试合格完毕并交付使用</w:t>
      </w:r>
    </w:p>
    <w:p w14:paraId="168ECB73">
      <w:pPr>
        <w:pStyle w:val="10"/>
        <w:rPr>
          <w:rFonts w:hint="eastAsia" w:ascii="宋体" w:hAnsi="Courier New" w:eastAsia="宋体" w:cs="Times New Roman"/>
          <w:b w:val="0"/>
          <w:bCs w:val="0"/>
          <w:kern w:val="2"/>
          <w:sz w:val="21"/>
          <w:szCs w:val="21"/>
          <w:highlight w:val="none"/>
          <w:lang w:val="en-US" w:eastAsia="zh-CN" w:bidi="ar-SA"/>
        </w:rPr>
      </w:pPr>
      <w:r>
        <w:rPr>
          <w:rFonts w:hint="eastAsia"/>
          <w:b w:val="0"/>
          <w:sz w:val="21"/>
          <w:szCs w:val="21"/>
          <w:highlight w:val="none"/>
          <w:lang w:val="en-US" w:eastAsia="zh-CN"/>
        </w:rPr>
        <w:t>2.1.3 提供完整的文档资料。实施竣工</w:t>
      </w:r>
      <w:r>
        <w:rPr>
          <w:rFonts w:hint="eastAsia" w:ascii="宋体" w:hAnsi="Courier New" w:eastAsia="宋体" w:cs="Times New Roman"/>
          <w:b w:val="0"/>
          <w:bCs w:val="0"/>
          <w:kern w:val="2"/>
          <w:sz w:val="21"/>
          <w:szCs w:val="21"/>
          <w:highlight w:val="none"/>
          <w:lang w:val="en-US" w:eastAsia="zh-CN" w:bidi="ar-SA"/>
        </w:rPr>
        <w:t>文档资料须包含详细的数据结构、操作手册、培训资料、功能说明、</w:t>
      </w:r>
      <w:r>
        <w:rPr>
          <w:rFonts w:hint="eastAsia" w:cs="Times New Roman"/>
          <w:b w:val="0"/>
          <w:bCs w:val="0"/>
          <w:kern w:val="2"/>
          <w:sz w:val="21"/>
          <w:szCs w:val="21"/>
          <w:highlight w:val="none"/>
          <w:lang w:val="en-US" w:eastAsia="zh-CN" w:bidi="ar-SA"/>
        </w:rPr>
        <w:t>插件清单、开源软件清单、</w:t>
      </w:r>
      <w:r>
        <w:rPr>
          <w:rFonts w:hint="eastAsia" w:ascii="宋体" w:hAnsi="Courier New" w:eastAsia="宋体" w:cs="Times New Roman"/>
          <w:b w:val="0"/>
          <w:bCs w:val="0"/>
          <w:kern w:val="2"/>
          <w:sz w:val="21"/>
          <w:szCs w:val="21"/>
          <w:highlight w:val="none"/>
          <w:lang w:val="en-US" w:eastAsia="zh-CN" w:bidi="ar-SA"/>
        </w:rPr>
        <w:t>服务器运行资料、存储路径等。</w:t>
      </w:r>
    </w:p>
    <w:p w14:paraId="3C9DF5AA">
      <w:pPr>
        <w:pStyle w:val="10"/>
      </w:pPr>
      <w:r>
        <w:rPr>
          <w:rFonts w:hint="eastAsia"/>
        </w:rPr>
        <w:t>2.</w:t>
      </w:r>
      <w:r>
        <w:t xml:space="preserve">2 </w:t>
      </w:r>
      <w:r>
        <w:rPr>
          <w:rFonts w:hint="eastAsia"/>
        </w:rPr>
        <w:t>系统接口</w:t>
      </w:r>
    </w:p>
    <w:p w14:paraId="191FF4EA">
      <w:pPr>
        <w:pStyle w:val="10"/>
        <w:rPr>
          <w:b w:val="0"/>
          <w:sz w:val="21"/>
          <w:szCs w:val="21"/>
        </w:rPr>
      </w:pPr>
      <w:r>
        <w:rPr>
          <w:rFonts w:hint="eastAsia"/>
          <w:b w:val="0"/>
          <w:sz w:val="21"/>
          <w:szCs w:val="21"/>
        </w:rPr>
        <w:t>2</w:t>
      </w:r>
      <w:r>
        <w:rPr>
          <w:b w:val="0"/>
          <w:sz w:val="21"/>
          <w:szCs w:val="21"/>
        </w:rPr>
        <w:t xml:space="preserve">.2.1 </w:t>
      </w:r>
      <w:r>
        <w:rPr>
          <w:rFonts w:hint="eastAsia"/>
          <w:b w:val="0"/>
          <w:sz w:val="21"/>
          <w:szCs w:val="21"/>
        </w:rPr>
        <w:t>凡供应商提供的系统软件需开发接口程序的，费用由供应商负责。</w:t>
      </w:r>
    </w:p>
    <w:p w14:paraId="7DF81515">
      <w:pPr>
        <w:pStyle w:val="10"/>
        <w:rPr>
          <w:rFonts w:hint="eastAsia" w:hAnsi="Courier New"/>
          <w:b w:val="0"/>
          <w:sz w:val="21"/>
          <w:szCs w:val="21"/>
        </w:rPr>
      </w:pPr>
      <w:r>
        <w:rPr>
          <w:rFonts w:hint="eastAsia" w:hAnsi="Courier New"/>
          <w:b w:val="0"/>
          <w:sz w:val="21"/>
          <w:szCs w:val="21"/>
        </w:rPr>
        <w:t>2.2.2 凡采购人在用的系统软件需要协调、开发相关接口的，所产生的费用由供应商负责。</w:t>
      </w:r>
    </w:p>
    <w:p w14:paraId="6E531F38">
      <w:pPr>
        <w:pStyle w:val="10"/>
        <w:rPr>
          <w:rFonts w:hint="eastAsia" w:hAnsi="Courier New"/>
          <w:b w:val="0"/>
          <w:sz w:val="21"/>
          <w:szCs w:val="21"/>
        </w:rPr>
      </w:pPr>
      <w:r>
        <w:rPr>
          <w:rFonts w:hint="eastAsia" w:hAnsi="Courier New"/>
          <w:b w:val="0"/>
          <w:sz w:val="21"/>
          <w:szCs w:val="21"/>
        </w:rPr>
        <w:t>2.2.3 实现</w:t>
      </w:r>
      <w:r>
        <w:rPr>
          <w:rFonts w:hint="eastAsia"/>
          <w:b w:val="0"/>
          <w:sz w:val="21"/>
          <w:szCs w:val="21"/>
          <w:lang w:val="en-US" w:eastAsia="zh-CN"/>
        </w:rPr>
        <w:t>全病历</w:t>
      </w:r>
      <w:r>
        <w:rPr>
          <w:rFonts w:hint="eastAsia" w:hAnsi="Courier New"/>
          <w:b w:val="0"/>
          <w:sz w:val="21"/>
          <w:szCs w:val="21"/>
        </w:rPr>
        <w:t>AI质控系统与我院HIS系统、电子病历等相关系统无缝连接。</w:t>
      </w:r>
    </w:p>
    <w:p w14:paraId="25B711E3">
      <w:pPr>
        <w:pStyle w:val="10"/>
        <w:rPr>
          <w:rFonts w:hint="default" w:hAnsi="Courier New"/>
          <w:b w:val="0"/>
          <w:sz w:val="21"/>
          <w:szCs w:val="21"/>
          <w:highlight w:val="none"/>
          <w:lang w:val="en-US" w:eastAsia="zh-CN"/>
        </w:rPr>
      </w:pPr>
      <w:r>
        <w:rPr>
          <w:rFonts w:hint="eastAsia" w:hAnsi="Courier New"/>
          <w:b w:val="0"/>
          <w:sz w:val="21"/>
          <w:szCs w:val="21"/>
          <w:highlight w:val="none"/>
          <w:lang w:val="en-US" w:eastAsia="zh-CN"/>
        </w:rPr>
        <w:t>2.2.4 病历质控记录可回传至医院电子病历系统，作为全部质控记录保存在医院电子病历系统并供医师查看</w:t>
      </w:r>
      <w:r>
        <w:rPr>
          <w:rFonts w:hint="eastAsia"/>
          <w:b w:val="0"/>
          <w:sz w:val="21"/>
          <w:szCs w:val="21"/>
          <w:highlight w:val="none"/>
          <w:lang w:val="en-US" w:eastAsia="zh-CN"/>
        </w:rPr>
        <w:t>,支持嵌入我院电子病历质控反馈流程。</w:t>
      </w:r>
    </w:p>
    <w:p w14:paraId="545673D1">
      <w:pPr>
        <w:pStyle w:val="10"/>
      </w:pPr>
      <w:r>
        <w:rPr>
          <w:rFonts w:hint="eastAsia"/>
        </w:rPr>
        <w:t>2.</w:t>
      </w:r>
      <w:r>
        <w:t xml:space="preserve">3 </w:t>
      </w:r>
      <w:r>
        <w:rPr>
          <w:rFonts w:hint="eastAsia"/>
        </w:rPr>
        <w:t>系统维护</w:t>
      </w:r>
    </w:p>
    <w:p w14:paraId="007B69DE">
      <w:pPr>
        <w:pStyle w:val="10"/>
        <w:rPr>
          <w:b w:val="0"/>
          <w:sz w:val="21"/>
          <w:szCs w:val="21"/>
        </w:rPr>
      </w:pPr>
      <w:r>
        <w:rPr>
          <w:rFonts w:hint="eastAsia"/>
          <w:b w:val="0"/>
          <w:sz w:val="21"/>
          <w:szCs w:val="21"/>
        </w:rPr>
        <w:t>2.</w:t>
      </w:r>
      <w:r>
        <w:rPr>
          <w:b w:val="0"/>
          <w:sz w:val="21"/>
          <w:szCs w:val="21"/>
        </w:rPr>
        <w:t xml:space="preserve">3.1 </w:t>
      </w:r>
      <w:r>
        <w:rPr>
          <w:rFonts w:hint="eastAsia"/>
          <w:b w:val="0"/>
          <w:sz w:val="21"/>
          <w:szCs w:val="21"/>
        </w:rPr>
        <w:t>提供完整可靠的维护文档、数据结构和系统设计说明。</w:t>
      </w:r>
    </w:p>
    <w:p w14:paraId="71651C75">
      <w:pPr>
        <w:pStyle w:val="10"/>
        <w:rPr>
          <w:b w:val="0"/>
          <w:sz w:val="21"/>
          <w:szCs w:val="21"/>
        </w:rPr>
      </w:pPr>
      <w:r>
        <w:rPr>
          <w:rFonts w:hint="eastAsia"/>
          <w:b w:val="0"/>
          <w:sz w:val="21"/>
          <w:szCs w:val="21"/>
        </w:rPr>
        <w:t>2.</w:t>
      </w:r>
      <w:r>
        <w:rPr>
          <w:b w:val="0"/>
          <w:sz w:val="21"/>
          <w:szCs w:val="21"/>
        </w:rPr>
        <w:t xml:space="preserve">3.2 </w:t>
      </w:r>
      <w:r>
        <w:rPr>
          <w:rFonts w:hint="eastAsia"/>
          <w:b w:val="0"/>
          <w:sz w:val="21"/>
          <w:szCs w:val="21"/>
        </w:rPr>
        <w:t>成交供应商提供系统免费维护和升级服务，免费维护期从正式验收完成的第二日计算。</w:t>
      </w:r>
    </w:p>
    <w:p w14:paraId="163E5D70">
      <w:pPr>
        <w:pStyle w:val="10"/>
        <w:rPr>
          <w:b w:val="0"/>
          <w:sz w:val="21"/>
          <w:szCs w:val="21"/>
        </w:rPr>
      </w:pPr>
      <w:r>
        <w:rPr>
          <w:rFonts w:hint="eastAsia"/>
          <w:b w:val="0"/>
          <w:sz w:val="21"/>
          <w:szCs w:val="21"/>
        </w:rPr>
        <w:t>2.</w:t>
      </w:r>
      <w:r>
        <w:rPr>
          <w:b w:val="0"/>
          <w:sz w:val="21"/>
          <w:szCs w:val="21"/>
        </w:rPr>
        <w:t>3.</w:t>
      </w:r>
      <w:r>
        <w:rPr>
          <w:rFonts w:hint="eastAsia"/>
          <w:b w:val="0"/>
          <w:sz w:val="21"/>
          <w:szCs w:val="21"/>
        </w:rPr>
        <w:t>3</w:t>
      </w:r>
      <w:r>
        <w:rPr>
          <w:b w:val="0"/>
          <w:sz w:val="21"/>
          <w:szCs w:val="21"/>
        </w:rPr>
        <w:t xml:space="preserve"> </w:t>
      </w:r>
      <w:r>
        <w:rPr>
          <w:rFonts w:hint="eastAsia"/>
          <w:b w:val="0"/>
          <w:sz w:val="21"/>
          <w:szCs w:val="21"/>
        </w:rPr>
        <w:t>如因国家、省下发新的病历质控管理规范导致的系统调整或升级，成交人需按用户要求有限期内对系统进行调整或升级，并不得收取任何费用。</w:t>
      </w:r>
    </w:p>
    <w:p w14:paraId="7D736647">
      <w:pPr>
        <w:pStyle w:val="10"/>
      </w:pPr>
      <w:r>
        <w:rPr>
          <w:rFonts w:hint="eastAsia"/>
        </w:rPr>
        <w:t>2.</w:t>
      </w:r>
      <w:r>
        <w:t xml:space="preserve">4 </w:t>
      </w:r>
      <w:r>
        <w:rPr>
          <w:rFonts w:hint="eastAsia"/>
        </w:rPr>
        <w:t>用户管理和培训</w:t>
      </w:r>
    </w:p>
    <w:p w14:paraId="703F613D">
      <w:pPr>
        <w:pStyle w:val="10"/>
        <w:rPr>
          <w:b w:val="0"/>
          <w:sz w:val="21"/>
          <w:szCs w:val="21"/>
        </w:rPr>
      </w:pPr>
      <w:r>
        <w:rPr>
          <w:rFonts w:hint="eastAsia"/>
          <w:b w:val="0"/>
          <w:sz w:val="21"/>
          <w:szCs w:val="21"/>
        </w:rPr>
        <w:t>2.</w:t>
      </w:r>
      <w:r>
        <w:rPr>
          <w:b w:val="0"/>
          <w:sz w:val="21"/>
          <w:szCs w:val="21"/>
        </w:rPr>
        <w:t xml:space="preserve">4.1 </w:t>
      </w:r>
      <w:r>
        <w:rPr>
          <w:rFonts w:hint="eastAsia"/>
          <w:b w:val="0"/>
          <w:sz w:val="21"/>
          <w:szCs w:val="21"/>
          <w:lang w:val="en-US" w:eastAsia="zh-CN"/>
        </w:rPr>
        <w:t>全病历</w:t>
      </w:r>
      <w:r>
        <w:rPr>
          <w:b w:val="0"/>
          <w:sz w:val="21"/>
          <w:szCs w:val="21"/>
        </w:rPr>
        <w:t>AI</w:t>
      </w:r>
      <w:r>
        <w:rPr>
          <w:rFonts w:hint="eastAsia"/>
          <w:b w:val="0"/>
          <w:sz w:val="21"/>
          <w:szCs w:val="21"/>
        </w:rPr>
        <w:t>质控系统的用户信息和管理方式要与本院HIS系统基本一致，可以直接提取医院HIS系统的相关数据。医院HIS系统用户在获授权后可以成为本系统用户，且不限用户数。</w:t>
      </w:r>
    </w:p>
    <w:p w14:paraId="38D2F21F">
      <w:pPr>
        <w:pStyle w:val="10"/>
        <w:rPr>
          <w:b w:val="0"/>
          <w:sz w:val="21"/>
          <w:szCs w:val="21"/>
        </w:rPr>
      </w:pPr>
      <w:r>
        <w:rPr>
          <w:rFonts w:hint="eastAsia"/>
          <w:b w:val="0"/>
          <w:sz w:val="21"/>
          <w:szCs w:val="21"/>
        </w:rPr>
        <w:t>2.</w:t>
      </w:r>
      <w:r>
        <w:rPr>
          <w:b w:val="0"/>
          <w:sz w:val="21"/>
          <w:szCs w:val="21"/>
        </w:rPr>
        <w:t>4.</w:t>
      </w:r>
      <w:r>
        <w:rPr>
          <w:rFonts w:hint="eastAsia"/>
          <w:b w:val="0"/>
          <w:sz w:val="21"/>
          <w:szCs w:val="21"/>
        </w:rPr>
        <w:t>2</w:t>
      </w:r>
      <w:r>
        <w:rPr>
          <w:b w:val="0"/>
          <w:sz w:val="21"/>
          <w:szCs w:val="21"/>
        </w:rPr>
        <w:t xml:space="preserve">  </w:t>
      </w:r>
      <w:r>
        <w:rPr>
          <w:rFonts w:hint="eastAsia"/>
          <w:b w:val="0"/>
          <w:sz w:val="21"/>
          <w:szCs w:val="21"/>
        </w:rPr>
        <w:t>用户操作和系统管理界面要通俗易懂，符合业务习惯，容易操作，而且容易维护。软件提供的界面清晰，并符合用户的习惯；对操作的关键环节具有特别控制等。</w:t>
      </w:r>
    </w:p>
    <w:p w14:paraId="40305EBA">
      <w:pPr>
        <w:spacing w:line="360" w:lineRule="auto"/>
        <w:rPr>
          <w:rFonts w:hAnsi="Courier New" w:cs="Times New Roman"/>
          <w:kern w:val="2"/>
          <w:sz w:val="21"/>
          <w:szCs w:val="21"/>
        </w:rPr>
      </w:pPr>
      <w:r>
        <w:rPr>
          <w:rFonts w:hint="eastAsia" w:hAnsi="Courier New" w:cs="Times New Roman"/>
          <w:kern w:val="2"/>
          <w:sz w:val="21"/>
          <w:szCs w:val="21"/>
        </w:rPr>
        <w:t>2</w:t>
      </w:r>
      <w:r>
        <w:rPr>
          <w:rFonts w:hAnsi="Courier New" w:cs="Times New Roman"/>
          <w:kern w:val="2"/>
          <w:sz w:val="21"/>
          <w:szCs w:val="21"/>
        </w:rPr>
        <w:t xml:space="preserve">.4.3  </w:t>
      </w:r>
      <w:r>
        <w:rPr>
          <w:rFonts w:hint="eastAsia" w:hAnsi="Courier New" w:cs="Times New Roman"/>
          <w:kern w:val="2"/>
          <w:sz w:val="21"/>
          <w:szCs w:val="21"/>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5B5E992B">
      <w:pPr>
        <w:pStyle w:val="10"/>
        <w:rPr>
          <w:rFonts w:hint="eastAsia" w:hAnsi="Courier New"/>
          <w:highlight w:val="none"/>
        </w:rPr>
      </w:pPr>
      <w:r>
        <w:rPr>
          <w:rFonts w:hint="eastAsia" w:hAnsi="Courier New"/>
          <w:highlight w:val="none"/>
          <w:lang w:val="en-US" w:eastAsia="zh-CN"/>
        </w:rPr>
        <w:t>2.5 软件正版化原则</w:t>
      </w:r>
    </w:p>
    <w:p w14:paraId="6F64ED2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val="0"/>
          <w:kern w:val="2"/>
          <w:sz w:val="21"/>
          <w:szCs w:val="21"/>
          <w:highlight w:val="none"/>
          <w:lang w:val="en-US" w:eastAsia="zh-CN" w:bidi="ar-SA"/>
        </w:rPr>
      </w:pPr>
      <w:r>
        <w:rPr>
          <w:rFonts w:hint="eastAsia" w:ascii="宋体" w:hAnsi="Courier New" w:eastAsia="宋体" w:cs="Times New Roman"/>
          <w:b w:val="0"/>
          <w:kern w:val="2"/>
          <w:sz w:val="21"/>
          <w:szCs w:val="21"/>
          <w:highlight w:val="none"/>
          <w:lang w:val="en-US" w:eastAsia="zh-CN" w:bidi="ar-SA"/>
        </w:rPr>
        <w:t>本项目供应商必须保证提供的产品（软件、服务内容）系自主研发或者依法享有完全的知识产权，</w:t>
      </w:r>
      <w:r>
        <w:rPr>
          <w:rFonts w:hint="eastAsia" w:hAnsi="Courier New" w:cs="Times New Roman"/>
          <w:b w:val="0"/>
          <w:kern w:val="2"/>
          <w:sz w:val="21"/>
          <w:szCs w:val="21"/>
          <w:highlight w:val="none"/>
          <w:lang w:val="en-US" w:eastAsia="zh-CN" w:bidi="ar-SA"/>
        </w:rPr>
        <w:t>并且提供本项目运行所需的服务器操作系统、中间件、数据库等正版授权。</w:t>
      </w:r>
      <w:r>
        <w:rPr>
          <w:rFonts w:hint="eastAsia" w:ascii="宋体" w:hAnsi="Courier New" w:eastAsia="宋体" w:cs="Times New Roman"/>
          <w:b w:val="0"/>
          <w:kern w:val="2"/>
          <w:sz w:val="21"/>
          <w:szCs w:val="21"/>
          <w:highlight w:val="none"/>
          <w:lang w:val="en-US" w:eastAsia="zh-CN" w:bidi="ar-SA"/>
        </w:rPr>
        <w:t>采购人在中华人民共和国境内使用供应商提供的产品及服务时免受第三方提出的侵犯其专利权或其它知识产权的起诉。如果第三方提出侵权指控，中标供应商应承担由此而引起的一切法律责任和费用。</w:t>
      </w:r>
    </w:p>
    <w:p w14:paraId="50A09FFD">
      <w:pPr>
        <w:pStyle w:val="10"/>
        <w:rPr>
          <w:rFonts w:hint="eastAsia" w:hAnsi="Courier New"/>
          <w:highlight w:val="none"/>
          <w:lang w:val="en-US" w:eastAsia="zh-CN"/>
        </w:rPr>
      </w:pPr>
      <w:r>
        <w:rPr>
          <w:rFonts w:hint="eastAsia" w:hAnsi="Courier New"/>
          <w:highlight w:val="none"/>
          <w:lang w:val="en-US" w:eastAsia="zh-CN"/>
        </w:rPr>
        <w:t>2.6 信息安全</w:t>
      </w:r>
    </w:p>
    <w:p w14:paraId="50C9FB0C">
      <w:pPr>
        <w:pStyle w:val="10"/>
        <w:rPr>
          <w:rFonts w:hint="eastAsia" w:hAnsi="Courier New"/>
          <w:b w:val="0"/>
          <w:sz w:val="21"/>
          <w:szCs w:val="21"/>
          <w:highlight w:val="none"/>
          <w:lang w:val="en-US" w:eastAsia="zh-CN"/>
        </w:rPr>
      </w:pPr>
      <w:r>
        <w:rPr>
          <w:rFonts w:hint="eastAsia" w:hAnsi="Courier New"/>
          <w:b w:val="0"/>
          <w:sz w:val="21"/>
          <w:szCs w:val="21"/>
          <w:highlight w:val="none"/>
          <w:lang w:val="en-US" w:eastAsia="zh-CN"/>
        </w:rPr>
        <w:t>2.6.1本项目所产生的所有数据所有者均为采购方，供应商在任何时期均不得不经允许拷贝、外传，不得设置障碍影响采购方获取数据。</w:t>
      </w:r>
    </w:p>
    <w:p w14:paraId="2F8F1157">
      <w:pPr>
        <w:pStyle w:val="10"/>
        <w:rPr>
          <w:rFonts w:hint="default" w:hAnsi="Courier New"/>
          <w:b w:val="0"/>
          <w:sz w:val="21"/>
          <w:szCs w:val="21"/>
          <w:highlight w:val="none"/>
          <w:lang w:val="en-US" w:eastAsia="zh-CN"/>
        </w:rPr>
      </w:pPr>
      <w:r>
        <w:rPr>
          <w:rFonts w:hint="eastAsia" w:hAnsi="Courier New"/>
          <w:b w:val="0"/>
          <w:sz w:val="21"/>
          <w:szCs w:val="21"/>
          <w:highlight w:val="none"/>
          <w:lang w:val="en-US" w:eastAsia="zh-CN"/>
        </w:rPr>
        <w:t>2.6.2本项目所涉及的产品符合</w:t>
      </w:r>
      <w:r>
        <w:rPr>
          <w:rFonts w:hint="default" w:hAnsi="Courier New"/>
          <w:b w:val="0"/>
          <w:sz w:val="21"/>
          <w:szCs w:val="21"/>
          <w:highlight w:val="none"/>
          <w:lang w:val="en-US" w:eastAsia="zh-CN"/>
        </w:rPr>
        <w:t>”</w:t>
      </w:r>
      <w:r>
        <w:rPr>
          <w:rFonts w:hint="eastAsia" w:hAnsi="Courier New"/>
          <w:b w:val="0"/>
          <w:sz w:val="21"/>
          <w:szCs w:val="21"/>
          <w:highlight w:val="none"/>
          <w:lang w:val="en-US" w:eastAsia="zh-CN"/>
        </w:rPr>
        <w:t>国家信息安全等级保护三级认证</w:t>
      </w:r>
      <w:r>
        <w:rPr>
          <w:rFonts w:hint="default" w:hAnsi="Courier New"/>
          <w:b w:val="0"/>
          <w:sz w:val="21"/>
          <w:szCs w:val="21"/>
          <w:highlight w:val="none"/>
          <w:lang w:val="en-US" w:eastAsia="zh-CN"/>
        </w:rPr>
        <w:t>”</w:t>
      </w:r>
      <w:r>
        <w:rPr>
          <w:rFonts w:hint="eastAsia" w:hAnsi="Courier New"/>
          <w:b w:val="0"/>
          <w:sz w:val="21"/>
          <w:szCs w:val="21"/>
          <w:highlight w:val="none"/>
          <w:lang w:val="en-US" w:eastAsia="zh-CN"/>
        </w:rPr>
        <w:t>要求，在系统实施及运行期间，如</w:t>
      </w:r>
      <w:r>
        <w:rPr>
          <w:rFonts w:hint="eastAsia"/>
          <w:b w:val="0"/>
          <w:sz w:val="21"/>
          <w:szCs w:val="21"/>
          <w:highlight w:val="none"/>
          <w:lang w:val="en-US" w:eastAsia="zh-CN"/>
        </w:rPr>
        <w:t>使用方自行检测或按照国家要求测评，</w:t>
      </w:r>
      <w:r>
        <w:rPr>
          <w:rFonts w:hint="eastAsia" w:hAnsi="Courier New"/>
          <w:b w:val="0"/>
          <w:sz w:val="21"/>
          <w:szCs w:val="21"/>
          <w:highlight w:val="none"/>
          <w:lang w:val="en-US" w:eastAsia="zh-CN"/>
        </w:rPr>
        <w:t>存在</w:t>
      </w:r>
      <w:r>
        <w:rPr>
          <w:rFonts w:hint="eastAsia" w:ascii="宋体" w:hAnsi="Courier New" w:eastAsia="宋体" w:cs="Times New Roman"/>
          <w:b w:val="0"/>
          <w:bCs w:val="0"/>
          <w:kern w:val="2"/>
          <w:sz w:val="21"/>
          <w:szCs w:val="21"/>
          <w:highlight w:val="none"/>
          <w:lang w:val="en-US" w:eastAsia="zh-CN" w:bidi="ar-SA"/>
        </w:rPr>
        <w:t>不符合</w:t>
      </w:r>
      <w:r>
        <w:rPr>
          <w:rFonts w:hint="eastAsia" w:hAnsi="Courier New"/>
          <w:b w:val="0"/>
          <w:sz w:val="21"/>
          <w:szCs w:val="21"/>
          <w:highlight w:val="none"/>
          <w:lang w:val="en-US" w:eastAsia="zh-CN"/>
        </w:rPr>
        <w:t>以上要求或安全漏洞，供应商应立即整改，不得另外收取费用。</w:t>
      </w:r>
    </w:p>
    <w:p w14:paraId="4FFFDF56">
      <w:pPr>
        <w:pStyle w:val="10"/>
        <w:rPr>
          <w:rFonts w:hint="eastAsia" w:hAnsi="Courier New"/>
          <w:b w:val="0"/>
          <w:sz w:val="21"/>
          <w:szCs w:val="21"/>
          <w:highlight w:val="none"/>
          <w:lang w:val="en-US" w:eastAsia="zh-CN"/>
        </w:rPr>
      </w:pPr>
      <w:r>
        <w:rPr>
          <w:rFonts w:hint="eastAsia" w:hAnsi="Courier New"/>
          <w:b w:val="0"/>
          <w:sz w:val="21"/>
          <w:szCs w:val="21"/>
          <w:highlight w:val="none"/>
          <w:lang w:val="en-US" w:eastAsia="zh-CN"/>
        </w:rPr>
        <w:t>2.6.2所投产品必须实现软件完整的本地化部署，其中包括软件涉及的AI模型、知识库以及必须的微服务。 严禁本院数据（包含原始数据或者脱敏原始数据）通过任何技术方式脱离医院本地服务器。在实施及维护过程中，，必须保证系统数据的安全及保密，并签署保密协议。</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20598"/>
    <w:multiLevelType w:val="multilevel"/>
    <w:tmpl w:val="60520598"/>
    <w:lvl w:ilvl="0" w:tentative="0">
      <w:start w:val="1"/>
      <w:numFmt w:val="chineseCountingThousand"/>
      <w:pStyle w:val="2"/>
      <w:lvlText w:val="%1、"/>
      <w:lvlJc w:val="left"/>
      <w:pPr>
        <w:ind w:left="0" w:firstLine="0"/>
      </w:pPr>
      <w:rPr>
        <w:rFonts w:hint="eastAsia" w:ascii="宋体" w:eastAsia="宋体"/>
        <w:b/>
        <w:i w:val="0"/>
      </w:rPr>
    </w:lvl>
    <w:lvl w:ilvl="1" w:tentative="0">
      <w:start w:val="1"/>
      <w:numFmt w:val="decimal"/>
      <w:pStyle w:val="3"/>
      <w:isLgl/>
      <w:lvlText w:val="%1.%2"/>
      <w:lvlJc w:val="left"/>
      <w:pPr>
        <w:ind w:left="425" w:firstLine="0"/>
      </w:pPr>
      <w:rPr>
        <w:rFonts w:hint="eastAsia" w:ascii="宋体" w:eastAsia="宋体"/>
        <w:b/>
        <w:i w:val="0"/>
      </w:rPr>
    </w:lvl>
    <w:lvl w:ilvl="2" w:tentative="0">
      <w:start w:val="1"/>
      <w:numFmt w:val="decimal"/>
      <w:pStyle w:val="4"/>
      <w:isLgl/>
      <w:lvlText w:val="%1.%2.%3"/>
      <w:lvlJc w:val="left"/>
      <w:pPr>
        <w:ind w:left="0" w:firstLine="0"/>
      </w:pPr>
      <w:rPr>
        <w:rFonts w:hint="eastAsia" w:ascii="宋体" w:eastAsia="宋体"/>
        <w:b/>
        <w:i w:val="0"/>
      </w:rPr>
    </w:lvl>
    <w:lvl w:ilvl="3" w:tentative="0">
      <w:start w:val="1"/>
      <w:numFmt w:val="decimal"/>
      <w:pStyle w:val="5"/>
      <w:isLgl/>
      <w:lvlText w:val="%1.%2.%3.%4"/>
      <w:lvlJc w:val="left"/>
      <w:pPr>
        <w:ind w:left="0" w:firstLine="0"/>
      </w:pPr>
      <w:rPr>
        <w:rFonts w:hint="eastAsia" w:ascii="宋体" w:eastAsia="宋体"/>
        <w:b/>
        <w:i w:val="0"/>
      </w:rPr>
    </w:lvl>
    <w:lvl w:ilvl="4" w:tentative="0">
      <w:start w:val="1"/>
      <w:numFmt w:val="decimal"/>
      <w:pStyle w:val="6"/>
      <w:isLgl/>
      <w:lvlText w:val="%1.%2.%3.%4.%5"/>
      <w:lvlJc w:val="left"/>
      <w:pPr>
        <w:ind w:left="0" w:firstLine="0"/>
      </w:pPr>
      <w:rPr>
        <w:rFonts w:hint="eastAsia" w:ascii="宋体" w:eastAsia="宋体"/>
        <w:b/>
        <w:i w:val="0"/>
      </w:rPr>
    </w:lvl>
    <w:lvl w:ilvl="5" w:tentative="0">
      <w:start w:val="1"/>
      <w:numFmt w:val="decimal"/>
      <w:pStyle w:val="7"/>
      <w:isLgl/>
      <w:lvlText w:val="%1.%2.%3.%4.%5.%6"/>
      <w:lvlJc w:val="left"/>
      <w:pPr>
        <w:ind w:left="0" w:firstLine="0"/>
      </w:pPr>
      <w:rPr>
        <w:rFonts w:hint="eastAsia" w:ascii="宋体" w:eastAsia="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YmMwNmE1N2NjZjE1NWVlOTVmNDMyYTRhNDJjZDEifQ=="/>
  </w:docVars>
  <w:rsids>
    <w:rsidRoot w:val="00E60ADF"/>
    <w:rsid w:val="000058CB"/>
    <w:rsid w:val="00013C85"/>
    <w:rsid w:val="00043F03"/>
    <w:rsid w:val="0004601B"/>
    <w:rsid w:val="0005567C"/>
    <w:rsid w:val="00057B86"/>
    <w:rsid w:val="000734A9"/>
    <w:rsid w:val="0009739F"/>
    <w:rsid w:val="000A09AB"/>
    <w:rsid w:val="000A2D1B"/>
    <w:rsid w:val="000D1D89"/>
    <w:rsid w:val="000E11E7"/>
    <w:rsid w:val="00125C8A"/>
    <w:rsid w:val="00125E9B"/>
    <w:rsid w:val="0014000A"/>
    <w:rsid w:val="001655BA"/>
    <w:rsid w:val="00176531"/>
    <w:rsid w:val="001772D5"/>
    <w:rsid w:val="00197372"/>
    <w:rsid w:val="001B71B3"/>
    <w:rsid w:val="001E202D"/>
    <w:rsid w:val="001E56D5"/>
    <w:rsid w:val="001F3B25"/>
    <w:rsid w:val="001F7BC5"/>
    <w:rsid w:val="00203CE1"/>
    <w:rsid w:val="00222F69"/>
    <w:rsid w:val="002242FC"/>
    <w:rsid w:val="00243B4D"/>
    <w:rsid w:val="002526ED"/>
    <w:rsid w:val="0026486E"/>
    <w:rsid w:val="00265A32"/>
    <w:rsid w:val="002A3318"/>
    <w:rsid w:val="002B2C6F"/>
    <w:rsid w:val="002C4192"/>
    <w:rsid w:val="002C7000"/>
    <w:rsid w:val="00315CC0"/>
    <w:rsid w:val="00336550"/>
    <w:rsid w:val="003425C8"/>
    <w:rsid w:val="0035720C"/>
    <w:rsid w:val="003733D5"/>
    <w:rsid w:val="0039661B"/>
    <w:rsid w:val="003B2C12"/>
    <w:rsid w:val="003B3379"/>
    <w:rsid w:val="003D7BC2"/>
    <w:rsid w:val="003F66A9"/>
    <w:rsid w:val="004071B7"/>
    <w:rsid w:val="0041694B"/>
    <w:rsid w:val="00450775"/>
    <w:rsid w:val="00472FBF"/>
    <w:rsid w:val="004816C2"/>
    <w:rsid w:val="00482526"/>
    <w:rsid w:val="004850E1"/>
    <w:rsid w:val="0048660B"/>
    <w:rsid w:val="004936EB"/>
    <w:rsid w:val="004937DC"/>
    <w:rsid w:val="004A0EFA"/>
    <w:rsid w:val="004D5CCF"/>
    <w:rsid w:val="004D6E4C"/>
    <w:rsid w:val="005044DC"/>
    <w:rsid w:val="00514F1A"/>
    <w:rsid w:val="00520899"/>
    <w:rsid w:val="005371C0"/>
    <w:rsid w:val="005516E4"/>
    <w:rsid w:val="0056046E"/>
    <w:rsid w:val="005626B5"/>
    <w:rsid w:val="00590649"/>
    <w:rsid w:val="00596C60"/>
    <w:rsid w:val="005A399C"/>
    <w:rsid w:val="005A72E3"/>
    <w:rsid w:val="005B2AE0"/>
    <w:rsid w:val="005E2DA9"/>
    <w:rsid w:val="005F5DD0"/>
    <w:rsid w:val="00600E76"/>
    <w:rsid w:val="00603850"/>
    <w:rsid w:val="00616254"/>
    <w:rsid w:val="00637198"/>
    <w:rsid w:val="00646F98"/>
    <w:rsid w:val="0066768A"/>
    <w:rsid w:val="00680877"/>
    <w:rsid w:val="0069182D"/>
    <w:rsid w:val="006E20FA"/>
    <w:rsid w:val="00710E1E"/>
    <w:rsid w:val="007203F7"/>
    <w:rsid w:val="007216EA"/>
    <w:rsid w:val="007232EA"/>
    <w:rsid w:val="00730A44"/>
    <w:rsid w:val="00731C5B"/>
    <w:rsid w:val="00734CA4"/>
    <w:rsid w:val="00737F91"/>
    <w:rsid w:val="007630E7"/>
    <w:rsid w:val="00765F2B"/>
    <w:rsid w:val="00767CEA"/>
    <w:rsid w:val="007720D1"/>
    <w:rsid w:val="0077320A"/>
    <w:rsid w:val="007D3899"/>
    <w:rsid w:val="007F7DC1"/>
    <w:rsid w:val="00806D01"/>
    <w:rsid w:val="00812DBA"/>
    <w:rsid w:val="008323E3"/>
    <w:rsid w:val="00847BBE"/>
    <w:rsid w:val="0087204A"/>
    <w:rsid w:val="00891D2B"/>
    <w:rsid w:val="00896713"/>
    <w:rsid w:val="008B0379"/>
    <w:rsid w:val="008B7860"/>
    <w:rsid w:val="008E29E5"/>
    <w:rsid w:val="008E7C4D"/>
    <w:rsid w:val="00904104"/>
    <w:rsid w:val="0091089C"/>
    <w:rsid w:val="009906B6"/>
    <w:rsid w:val="00994F2F"/>
    <w:rsid w:val="009B455E"/>
    <w:rsid w:val="009F1727"/>
    <w:rsid w:val="009F5122"/>
    <w:rsid w:val="00A15BE8"/>
    <w:rsid w:val="00A2779D"/>
    <w:rsid w:val="00A31EEF"/>
    <w:rsid w:val="00A556F0"/>
    <w:rsid w:val="00A970B5"/>
    <w:rsid w:val="00AA1D7B"/>
    <w:rsid w:val="00AB7447"/>
    <w:rsid w:val="00AD0C40"/>
    <w:rsid w:val="00AE44DC"/>
    <w:rsid w:val="00AF1E20"/>
    <w:rsid w:val="00AF2C83"/>
    <w:rsid w:val="00AF4EE8"/>
    <w:rsid w:val="00AF5A70"/>
    <w:rsid w:val="00B06854"/>
    <w:rsid w:val="00B0688B"/>
    <w:rsid w:val="00B1230A"/>
    <w:rsid w:val="00B43F4C"/>
    <w:rsid w:val="00B77772"/>
    <w:rsid w:val="00B95C67"/>
    <w:rsid w:val="00BA100A"/>
    <w:rsid w:val="00BA517E"/>
    <w:rsid w:val="00BA5CD3"/>
    <w:rsid w:val="00BB02DF"/>
    <w:rsid w:val="00BC487D"/>
    <w:rsid w:val="00BE28C4"/>
    <w:rsid w:val="00BF40DF"/>
    <w:rsid w:val="00C02DA6"/>
    <w:rsid w:val="00C05D1F"/>
    <w:rsid w:val="00C070D5"/>
    <w:rsid w:val="00C14B25"/>
    <w:rsid w:val="00C24209"/>
    <w:rsid w:val="00C57FF2"/>
    <w:rsid w:val="00C623AE"/>
    <w:rsid w:val="00C630EE"/>
    <w:rsid w:val="00C721F9"/>
    <w:rsid w:val="00C73742"/>
    <w:rsid w:val="00C772F3"/>
    <w:rsid w:val="00C8495E"/>
    <w:rsid w:val="00C86B87"/>
    <w:rsid w:val="00C87257"/>
    <w:rsid w:val="00C93ECD"/>
    <w:rsid w:val="00CA4C72"/>
    <w:rsid w:val="00CA549F"/>
    <w:rsid w:val="00CB31DD"/>
    <w:rsid w:val="00CC0682"/>
    <w:rsid w:val="00CC0C9C"/>
    <w:rsid w:val="00CD3EED"/>
    <w:rsid w:val="00D062F7"/>
    <w:rsid w:val="00D263B4"/>
    <w:rsid w:val="00D3320E"/>
    <w:rsid w:val="00D6063A"/>
    <w:rsid w:val="00D62F08"/>
    <w:rsid w:val="00DD7A3C"/>
    <w:rsid w:val="00DE245C"/>
    <w:rsid w:val="00DE30A9"/>
    <w:rsid w:val="00E60855"/>
    <w:rsid w:val="00E60ADF"/>
    <w:rsid w:val="00E61F08"/>
    <w:rsid w:val="00E667D9"/>
    <w:rsid w:val="00E81B73"/>
    <w:rsid w:val="00E921B5"/>
    <w:rsid w:val="00E975CE"/>
    <w:rsid w:val="00EC4D73"/>
    <w:rsid w:val="00EE138C"/>
    <w:rsid w:val="00EF2860"/>
    <w:rsid w:val="00F32425"/>
    <w:rsid w:val="00F40B92"/>
    <w:rsid w:val="00F674E2"/>
    <w:rsid w:val="00F72B66"/>
    <w:rsid w:val="00FC71D3"/>
    <w:rsid w:val="00FE2FD8"/>
    <w:rsid w:val="00FF5CAF"/>
    <w:rsid w:val="00FF6169"/>
    <w:rsid w:val="062E1DB1"/>
    <w:rsid w:val="0BC82CA9"/>
    <w:rsid w:val="0BDF6813"/>
    <w:rsid w:val="0DB5782C"/>
    <w:rsid w:val="0F987405"/>
    <w:rsid w:val="13A445CA"/>
    <w:rsid w:val="15973CBB"/>
    <w:rsid w:val="15D474C3"/>
    <w:rsid w:val="17742506"/>
    <w:rsid w:val="17C0574B"/>
    <w:rsid w:val="1A0173C8"/>
    <w:rsid w:val="1A4E24DA"/>
    <w:rsid w:val="23856140"/>
    <w:rsid w:val="2A324448"/>
    <w:rsid w:val="2DF958BE"/>
    <w:rsid w:val="2E761AFB"/>
    <w:rsid w:val="2EF6565E"/>
    <w:rsid w:val="30EB5158"/>
    <w:rsid w:val="331D2980"/>
    <w:rsid w:val="35AC4A89"/>
    <w:rsid w:val="3AD704DB"/>
    <w:rsid w:val="3DEE4511"/>
    <w:rsid w:val="44427364"/>
    <w:rsid w:val="46B81B60"/>
    <w:rsid w:val="46E97421"/>
    <w:rsid w:val="46EC3681"/>
    <w:rsid w:val="4B3E36A6"/>
    <w:rsid w:val="4C03693C"/>
    <w:rsid w:val="4FCA32BF"/>
    <w:rsid w:val="53B8319F"/>
    <w:rsid w:val="54DE5761"/>
    <w:rsid w:val="54EF2655"/>
    <w:rsid w:val="575A7560"/>
    <w:rsid w:val="590503A9"/>
    <w:rsid w:val="5BEF473C"/>
    <w:rsid w:val="5FA722B9"/>
    <w:rsid w:val="69D93B18"/>
    <w:rsid w:val="6B315F22"/>
    <w:rsid w:val="6BA829C4"/>
    <w:rsid w:val="6C1125BE"/>
    <w:rsid w:val="706C7F68"/>
    <w:rsid w:val="70993EB7"/>
    <w:rsid w:val="71C60B38"/>
    <w:rsid w:val="758D7B90"/>
    <w:rsid w:val="7A2B07B0"/>
    <w:rsid w:val="7A8F25DA"/>
    <w:rsid w:val="7C0E4BDB"/>
    <w:rsid w:val="7D2E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kern w:val="0"/>
      <w:sz w:val="24"/>
      <w:szCs w:val="24"/>
      <w:lang w:val="en-US" w:eastAsia="zh-CN" w:bidi="ar-SA"/>
    </w:rPr>
  </w:style>
  <w:style w:type="paragraph" w:styleId="2">
    <w:name w:val="heading 1"/>
    <w:basedOn w:val="1"/>
    <w:next w:val="1"/>
    <w:link w:val="18"/>
    <w:autoRedefine/>
    <w:qFormat/>
    <w:uiPriority w:val="0"/>
    <w:pPr>
      <w:keepNext/>
      <w:keepLines/>
      <w:numPr>
        <w:ilvl w:val="0"/>
        <w:numId w:val="1"/>
      </w:numPr>
      <w:spacing w:before="340" w:after="330" w:line="578" w:lineRule="auto"/>
      <w:outlineLvl w:val="0"/>
    </w:pPr>
    <w:rPr>
      <w:b/>
      <w:bCs/>
      <w:kern w:val="44"/>
      <w:sz w:val="36"/>
      <w:szCs w:val="44"/>
    </w:rPr>
  </w:style>
  <w:style w:type="paragraph" w:styleId="3">
    <w:name w:val="heading 2"/>
    <w:basedOn w:val="1"/>
    <w:next w:val="1"/>
    <w:link w:val="19"/>
    <w:autoRedefine/>
    <w:unhideWhenUsed/>
    <w:qFormat/>
    <w:uiPriority w:val="9"/>
    <w:pPr>
      <w:keepNext/>
      <w:keepLines/>
      <w:numPr>
        <w:ilvl w:val="1"/>
        <w:numId w:val="1"/>
      </w:numPr>
      <w:spacing w:before="260" w:after="260" w:line="415" w:lineRule="auto"/>
      <w:outlineLvl w:val="1"/>
    </w:pPr>
    <w:rPr>
      <w:rFonts w:hAnsiTheme="majorHAnsi" w:cstheme="majorBidi"/>
      <w:b/>
      <w:bCs/>
      <w:sz w:val="32"/>
      <w:szCs w:val="32"/>
    </w:rPr>
  </w:style>
  <w:style w:type="paragraph" w:styleId="4">
    <w:name w:val="heading 3"/>
    <w:basedOn w:val="1"/>
    <w:next w:val="1"/>
    <w:link w:val="20"/>
    <w:autoRedefine/>
    <w:unhideWhenUsed/>
    <w:qFormat/>
    <w:uiPriority w:val="9"/>
    <w:pPr>
      <w:keepNext/>
      <w:keepLines/>
      <w:numPr>
        <w:ilvl w:val="2"/>
        <w:numId w:val="1"/>
      </w:numPr>
      <w:spacing w:before="260" w:after="260" w:line="415" w:lineRule="auto"/>
      <w:outlineLvl w:val="2"/>
    </w:pPr>
    <w:rPr>
      <w:b/>
      <w:bCs/>
      <w:sz w:val="30"/>
      <w:szCs w:val="32"/>
    </w:rPr>
  </w:style>
  <w:style w:type="paragraph" w:styleId="5">
    <w:name w:val="heading 4"/>
    <w:basedOn w:val="1"/>
    <w:next w:val="1"/>
    <w:link w:val="21"/>
    <w:autoRedefine/>
    <w:unhideWhenUsed/>
    <w:qFormat/>
    <w:uiPriority w:val="0"/>
    <w:pPr>
      <w:keepNext/>
      <w:keepLines/>
      <w:numPr>
        <w:ilvl w:val="3"/>
        <w:numId w:val="1"/>
      </w:numPr>
      <w:spacing w:before="280" w:after="290" w:line="377" w:lineRule="auto"/>
      <w:outlineLvl w:val="3"/>
    </w:pPr>
    <w:rPr>
      <w:rFonts w:hAnsiTheme="majorHAnsi" w:cstheme="majorBidi"/>
      <w:b/>
      <w:bCs/>
      <w:sz w:val="28"/>
      <w:szCs w:val="28"/>
    </w:rPr>
  </w:style>
  <w:style w:type="paragraph" w:styleId="6">
    <w:name w:val="heading 5"/>
    <w:basedOn w:val="1"/>
    <w:next w:val="1"/>
    <w:link w:val="22"/>
    <w:autoRedefine/>
    <w:unhideWhenUsed/>
    <w:qFormat/>
    <w:uiPriority w:val="0"/>
    <w:pPr>
      <w:keepNext/>
      <w:keepLines/>
      <w:numPr>
        <w:ilvl w:val="4"/>
        <w:numId w:val="1"/>
      </w:numPr>
      <w:spacing w:before="280" w:after="290" w:line="377" w:lineRule="auto"/>
      <w:outlineLvl w:val="4"/>
    </w:pPr>
    <w:rPr>
      <w:b/>
      <w:bCs/>
      <w:szCs w:val="28"/>
    </w:rPr>
  </w:style>
  <w:style w:type="paragraph" w:styleId="7">
    <w:name w:val="heading 6"/>
    <w:basedOn w:val="1"/>
    <w:next w:val="1"/>
    <w:link w:val="23"/>
    <w:autoRedefine/>
    <w:unhideWhenUsed/>
    <w:qFormat/>
    <w:uiPriority w:val="0"/>
    <w:pPr>
      <w:keepNext/>
      <w:keepLines/>
      <w:numPr>
        <w:ilvl w:val="5"/>
        <w:numId w:val="1"/>
      </w:numPr>
      <w:spacing w:before="240" w:after="64" w:line="319" w:lineRule="auto"/>
      <w:outlineLvl w:val="5"/>
    </w:pPr>
    <w:rPr>
      <w:rFonts w:hAnsiTheme="majorHAnsi" w:cstheme="majorBidi"/>
      <w:b/>
      <w:bCs/>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8">
    <w:name w:val="annotation text"/>
    <w:basedOn w:val="1"/>
    <w:autoRedefine/>
    <w:semiHidden/>
    <w:unhideWhenUsed/>
    <w:qFormat/>
    <w:uiPriority w:val="99"/>
    <w:pPr>
      <w:jc w:val="left"/>
    </w:pPr>
  </w:style>
  <w:style w:type="paragraph" w:styleId="9">
    <w:name w:val="Body Text"/>
    <w:basedOn w:val="1"/>
    <w:link w:val="24"/>
    <w:autoRedefine/>
    <w:unhideWhenUsed/>
    <w:qFormat/>
    <w:uiPriority w:val="99"/>
    <w:pPr>
      <w:widowControl w:val="0"/>
      <w:spacing w:after="120"/>
      <w:jc w:val="both"/>
    </w:pPr>
    <w:rPr>
      <w:rFonts w:ascii="Times New Roman" w:hAnsi="Times New Roman" w:cs="Times New Roman"/>
      <w:kern w:val="2"/>
    </w:rPr>
  </w:style>
  <w:style w:type="paragraph" w:styleId="10">
    <w:name w:val="Plain Text"/>
    <w:basedOn w:val="1"/>
    <w:next w:val="5"/>
    <w:link w:val="32"/>
    <w:autoRedefine/>
    <w:qFormat/>
    <w:uiPriority w:val="0"/>
    <w:pPr>
      <w:widowControl w:val="0"/>
      <w:adjustRightInd w:val="0"/>
      <w:snapToGrid w:val="0"/>
      <w:spacing w:line="400" w:lineRule="exact"/>
      <w:jc w:val="both"/>
    </w:pPr>
    <w:rPr>
      <w:rFonts w:hAnsi="Courier New" w:cs="Times New Roman"/>
      <w:b/>
      <w:kern w:val="2"/>
    </w:rPr>
  </w:style>
  <w:style w:type="paragraph" w:styleId="11">
    <w:name w:val="Date"/>
    <w:basedOn w:val="1"/>
    <w:next w:val="1"/>
    <w:link w:val="33"/>
    <w:autoRedefine/>
    <w:semiHidden/>
    <w:unhideWhenUsed/>
    <w:qFormat/>
    <w:uiPriority w:val="99"/>
    <w:pPr>
      <w:ind w:left="100" w:leftChars="2500"/>
    </w:pPr>
  </w:style>
  <w:style w:type="paragraph" w:styleId="12">
    <w:name w:val="Balloon Text"/>
    <w:basedOn w:val="1"/>
    <w:link w:val="27"/>
    <w:autoRedefine/>
    <w:semiHidden/>
    <w:unhideWhenUsed/>
    <w:qFormat/>
    <w:uiPriority w:val="99"/>
    <w:rPr>
      <w:sz w:val="18"/>
      <w:szCs w:val="18"/>
    </w:rPr>
  </w:style>
  <w:style w:type="paragraph" w:styleId="13">
    <w:name w:val="Normal (Web)"/>
    <w:basedOn w:val="1"/>
    <w:autoRedefine/>
    <w:unhideWhenUsed/>
    <w:qFormat/>
    <w:uiPriority w:val="99"/>
    <w:pPr>
      <w:spacing w:before="100" w:beforeAutospacing="1" w:after="100" w:afterAutospacing="1"/>
    </w:pPr>
  </w:style>
  <w:style w:type="table" w:styleId="15">
    <w:name w:val="Table Grid"/>
    <w:basedOn w:val="14"/>
    <w:autoRedefine/>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autoRedefine/>
    <w:qFormat/>
    <w:uiPriority w:val="20"/>
    <w:rPr>
      <w:i/>
    </w:rPr>
  </w:style>
  <w:style w:type="character" w:customStyle="1" w:styleId="18">
    <w:name w:val="标题 1 Char"/>
    <w:basedOn w:val="16"/>
    <w:link w:val="2"/>
    <w:autoRedefine/>
    <w:qFormat/>
    <w:uiPriority w:val="0"/>
    <w:rPr>
      <w:rFonts w:ascii="宋体" w:hAnsi="宋体" w:eastAsia="宋体" w:cs="宋体"/>
      <w:b/>
      <w:bCs/>
      <w:kern w:val="44"/>
      <w:sz w:val="36"/>
      <w:szCs w:val="44"/>
    </w:rPr>
  </w:style>
  <w:style w:type="character" w:customStyle="1" w:styleId="19">
    <w:name w:val="标题 2 Char"/>
    <w:basedOn w:val="16"/>
    <w:link w:val="3"/>
    <w:autoRedefine/>
    <w:qFormat/>
    <w:uiPriority w:val="9"/>
    <w:rPr>
      <w:rFonts w:ascii="宋体" w:eastAsia="宋体" w:hAnsiTheme="majorHAnsi" w:cstheme="majorBidi"/>
      <w:b/>
      <w:bCs/>
      <w:kern w:val="0"/>
      <w:sz w:val="32"/>
      <w:szCs w:val="32"/>
    </w:rPr>
  </w:style>
  <w:style w:type="character" w:customStyle="1" w:styleId="20">
    <w:name w:val="标题 3 Char"/>
    <w:basedOn w:val="16"/>
    <w:link w:val="4"/>
    <w:autoRedefine/>
    <w:qFormat/>
    <w:uiPriority w:val="9"/>
    <w:rPr>
      <w:rFonts w:ascii="宋体" w:hAnsi="宋体" w:eastAsia="宋体" w:cs="宋体"/>
      <w:b/>
      <w:bCs/>
      <w:kern w:val="0"/>
      <w:sz w:val="30"/>
      <w:szCs w:val="32"/>
    </w:rPr>
  </w:style>
  <w:style w:type="character" w:customStyle="1" w:styleId="21">
    <w:name w:val="标题 4 Char"/>
    <w:basedOn w:val="16"/>
    <w:link w:val="5"/>
    <w:autoRedefine/>
    <w:qFormat/>
    <w:uiPriority w:val="0"/>
    <w:rPr>
      <w:rFonts w:ascii="宋体" w:eastAsia="宋体" w:hAnsiTheme="majorHAnsi" w:cstheme="majorBidi"/>
      <w:b/>
      <w:bCs/>
      <w:kern w:val="0"/>
      <w:sz w:val="28"/>
      <w:szCs w:val="28"/>
    </w:rPr>
  </w:style>
  <w:style w:type="character" w:customStyle="1" w:styleId="22">
    <w:name w:val="标题 5 Char"/>
    <w:basedOn w:val="16"/>
    <w:link w:val="6"/>
    <w:autoRedefine/>
    <w:qFormat/>
    <w:uiPriority w:val="0"/>
    <w:rPr>
      <w:rFonts w:ascii="宋体" w:hAnsi="宋体" w:eastAsia="宋体" w:cs="宋体"/>
      <w:b/>
      <w:bCs/>
      <w:kern w:val="0"/>
      <w:sz w:val="24"/>
      <w:szCs w:val="28"/>
    </w:rPr>
  </w:style>
  <w:style w:type="character" w:customStyle="1" w:styleId="23">
    <w:name w:val="标题 6 Char"/>
    <w:basedOn w:val="16"/>
    <w:link w:val="7"/>
    <w:autoRedefine/>
    <w:qFormat/>
    <w:uiPriority w:val="0"/>
    <w:rPr>
      <w:rFonts w:ascii="宋体" w:eastAsia="宋体" w:hAnsiTheme="majorHAnsi" w:cstheme="majorBidi"/>
      <w:b/>
      <w:bCs/>
      <w:kern w:val="0"/>
      <w:sz w:val="24"/>
    </w:rPr>
  </w:style>
  <w:style w:type="character" w:customStyle="1" w:styleId="24">
    <w:name w:val="正文文本 Char"/>
    <w:basedOn w:val="16"/>
    <w:link w:val="9"/>
    <w:autoRedefine/>
    <w:qFormat/>
    <w:uiPriority w:val="99"/>
    <w:rPr>
      <w:rFonts w:ascii="Times New Roman" w:hAnsi="Times New Roman" w:eastAsia="宋体" w:cs="Times New Roman"/>
      <w:sz w:val="24"/>
    </w:rPr>
  </w:style>
  <w:style w:type="paragraph" w:customStyle="1" w:styleId="25">
    <w:name w:val="列出段落1"/>
    <w:basedOn w:val="1"/>
    <w:link w:val="26"/>
    <w:autoRedefine/>
    <w:qFormat/>
    <w:uiPriority w:val="0"/>
    <w:pPr>
      <w:widowControl w:val="0"/>
      <w:spacing w:line="360" w:lineRule="auto"/>
      <w:ind w:firstLine="420"/>
      <w:jc w:val="both"/>
    </w:pPr>
    <w:rPr>
      <w:rFonts w:asciiTheme="minorHAnsi" w:hAnsiTheme="minorHAnsi" w:cstheme="minorBidi"/>
      <w:kern w:val="2"/>
      <w:szCs w:val="22"/>
    </w:rPr>
  </w:style>
  <w:style w:type="character" w:customStyle="1" w:styleId="26">
    <w:name w:val="列出段落 字符"/>
    <w:link w:val="25"/>
    <w:autoRedefine/>
    <w:qFormat/>
    <w:uiPriority w:val="0"/>
    <w:rPr>
      <w:rFonts w:eastAsia="宋体"/>
      <w:sz w:val="24"/>
      <w:szCs w:val="22"/>
    </w:rPr>
  </w:style>
  <w:style w:type="character" w:customStyle="1" w:styleId="27">
    <w:name w:val="批注框文本 Char"/>
    <w:basedOn w:val="16"/>
    <w:link w:val="12"/>
    <w:autoRedefine/>
    <w:semiHidden/>
    <w:qFormat/>
    <w:uiPriority w:val="99"/>
    <w:rPr>
      <w:rFonts w:ascii="宋体" w:hAnsi="宋体" w:eastAsia="宋体" w:cs="宋体"/>
      <w:kern w:val="0"/>
      <w:sz w:val="18"/>
      <w:szCs w:val="18"/>
    </w:rPr>
  </w:style>
  <w:style w:type="paragraph" w:styleId="28">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rPr>
  </w:style>
  <w:style w:type="character" w:customStyle="1" w:styleId="29">
    <w:name w:val="font31"/>
    <w:basedOn w:val="16"/>
    <w:autoRedefine/>
    <w:qFormat/>
    <w:uiPriority w:val="0"/>
    <w:rPr>
      <w:rFonts w:ascii="Arial" w:hAnsi="Arial" w:cs="Arial"/>
      <w:color w:val="000000"/>
      <w:sz w:val="24"/>
      <w:szCs w:val="24"/>
      <w:u w:val="none"/>
    </w:rPr>
  </w:style>
  <w:style w:type="character" w:customStyle="1" w:styleId="30">
    <w:name w:val="font21"/>
    <w:basedOn w:val="16"/>
    <w:autoRedefine/>
    <w:qFormat/>
    <w:uiPriority w:val="0"/>
    <w:rPr>
      <w:rFonts w:hint="eastAsia" w:ascii="仿宋" w:hAnsi="仿宋" w:eastAsia="仿宋" w:cs="仿宋"/>
      <w:color w:val="000000"/>
      <w:sz w:val="24"/>
      <w:szCs w:val="24"/>
      <w:u w:val="none"/>
    </w:rPr>
  </w:style>
  <w:style w:type="character" w:customStyle="1" w:styleId="31">
    <w:name w:val="纯文本 Char"/>
    <w:basedOn w:val="16"/>
    <w:autoRedefine/>
    <w:semiHidden/>
    <w:qFormat/>
    <w:uiPriority w:val="99"/>
    <w:rPr>
      <w:rFonts w:ascii="宋体" w:hAnsi="Courier New" w:eastAsia="宋体" w:cs="Courier New"/>
      <w:kern w:val="0"/>
      <w:szCs w:val="21"/>
    </w:rPr>
  </w:style>
  <w:style w:type="character" w:customStyle="1" w:styleId="32">
    <w:name w:val="纯文本 Char1"/>
    <w:basedOn w:val="16"/>
    <w:link w:val="10"/>
    <w:autoRedefine/>
    <w:qFormat/>
    <w:uiPriority w:val="99"/>
    <w:rPr>
      <w:rFonts w:ascii="宋体" w:hAnsi="Courier New" w:eastAsia="宋体" w:cs="Times New Roman"/>
      <w:b/>
      <w:sz w:val="24"/>
    </w:rPr>
  </w:style>
  <w:style w:type="character" w:customStyle="1" w:styleId="33">
    <w:name w:val="日期 Char"/>
    <w:basedOn w:val="16"/>
    <w:link w:val="11"/>
    <w:autoRedefine/>
    <w:semiHidden/>
    <w:qFormat/>
    <w:uiPriority w:val="99"/>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9653</Words>
  <Characters>9844</Characters>
  <Lines>1</Lines>
  <Paragraphs>1</Paragraphs>
  <TotalTime>14</TotalTime>
  <ScaleCrop>false</ScaleCrop>
  <LinksUpToDate>false</LinksUpToDate>
  <CharactersWithSpaces>9885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2023-07-03T16:33:00Z</dcterms:created>
  <dc:creator>cc.chenchao@outlook.com</dc:creator>
  <cp:lastModifiedBy>WPS_1675046108</cp:lastModifiedBy>
  <dcterms:modified xsi:type="dcterms:W3CDTF">2024-07-10T14:05:31Z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76C99BA6DDC2449181D90F932ACE3C08_13</vt:lpwstr>
  </property>
</Properties>
</file>