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E54F3">
      <w:pPr>
        <w:pStyle w:val="2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Hlk92881638"/>
      <w:bookmarkStart w:id="1" w:name="_Toc1547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</w:t>
      </w:r>
      <w:r>
        <w:rPr>
          <w:rFonts w:hint="eastAsia" w:ascii="宋体" w:hAnsi="宋体" w:eastAsia="宋体" w:cs="宋体"/>
          <w:sz w:val="24"/>
          <w:szCs w:val="24"/>
        </w:rPr>
        <w:t>参数</w:t>
      </w:r>
      <w:bookmarkEnd w:id="0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以及配置要求</w:t>
      </w:r>
    </w:p>
    <w:p w14:paraId="7DB54DE2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 产品名称用途</w:t>
      </w:r>
    </w:p>
    <w:p w14:paraId="780658FB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1.1 产品名称：肺功能测试系统</w:t>
      </w:r>
    </w:p>
    <w:p w14:paraId="5034F96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1.2 产品用途：</w:t>
      </w:r>
    </w:p>
    <w:p w14:paraId="04FAA76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用于人体的肺功能参数测量。常规肺通气功能模块适用于患者进行通气功能测试。呼吸压力功能模块用于适用于患者呼吸压力参数测试。肺弥散功能模块适用于患者进行一口气弥散残气测试。气道阻力功能模块适用于患者进行气道阻力测试。激发试验功能模块适用于患者进行支气管给药试验。</w:t>
      </w:r>
    </w:p>
    <w:p w14:paraId="4A2334C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1.3 产品注册标准：符合国家肺功能仪有关技术规范要求和技术标准。</w:t>
      </w:r>
    </w:p>
    <w:p w14:paraId="1770358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1.4 该产品适用于呼吸动作下进行的成人或儿童的静态肺功能参数测试，而非运动负荷下的心肺功能评估用。</w:t>
      </w:r>
    </w:p>
    <w:p w14:paraId="2E07878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 产品组成</w:t>
      </w:r>
    </w:p>
    <w:p w14:paraId="4EEFFE6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产品由常规肺通气模块、呼吸压力模块、肺弥散模块、气道阻力模块、激发试验模块、台车、一氧化氮模块、环境模块、电脑端软件和附件组成。</w:t>
      </w:r>
    </w:p>
    <w:p w14:paraId="5FA13C5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 功能模块与参数</w:t>
      </w:r>
    </w:p>
    <w:p w14:paraId="30EB000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 常规肺通气模块</w:t>
      </w:r>
    </w:p>
    <w:p w14:paraId="174C39C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3.1.1 测量参数：</w:t>
      </w:r>
    </w:p>
    <w:p w14:paraId="2907C53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用力肺活量、慢肺活量、最大分钟通气量</w:t>
      </w:r>
    </w:p>
    <w:p w14:paraId="37EAF56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3.1.2 传感器类型：双向金属筛网压差式传感器。</w:t>
      </w:r>
    </w:p>
    <w:p w14:paraId="0887DCD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3.1.3 流量测量范围：0～16L/s；流量精确范围：-1%～3%或者±0.17L/s，取其大者；分辨率：0.01L/s。</w:t>
      </w:r>
    </w:p>
    <w:p w14:paraId="0352093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3.1.4 容量测量范围：0～20L；容量精确范围：-0.3%～1.2%或者±0.05L，取其大者；分辨率：0.01L。</w:t>
      </w:r>
    </w:p>
    <w:p w14:paraId="1C53B8E6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3.1.5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线性度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%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75C9B507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3.1.6 舒张试验：可进行支气管舒张试验。</w:t>
      </w:r>
    </w:p>
    <w:p w14:paraId="527983D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3.1.7 质量控制：依据ATS/ERS自动计算质控评级A、B、C、D、E、U、F，受检者检查过程中，实时数据图像监测呼气时间，呼气末流速等，严格把控检查质量，保证检查结果准确。</w:t>
      </w:r>
    </w:p>
    <w:p w14:paraId="3D9B99B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3.1.8 标定功能：具备自动测量环境参数(温度、湿度、大气压)并进行BTPS自动修正功能；可通过定标筒进行常规定标和三流速定标。</w:t>
      </w:r>
    </w:p>
    <w:p w14:paraId="08ABDD6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3.1.9 流速传感器头部配套发货共2个，供用户替换使用。</w:t>
      </w:r>
    </w:p>
    <w:p w14:paraId="13D496F4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3.1.10 流速传感器头部(含传感器筛网)使用年限不低于5年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（需提供产品注册说明书举证）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</w:t>
      </w:r>
    </w:p>
    <w:p w14:paraId="589EEFD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3.1.11流速传感器头部可徒手拆卸，可浸泡消毒；用户可自行购买通用口径可拆卸式咬嘴和一次性肺功能仪用过滤嘴。</w:t>
      </w:r>
    </w:p>
    <w:p w14:paraId="7CF2AE2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3.2 呼吸压力模块</w:t>
      </w:r>
    </w:p>
    <w:p w14:paraId="18B9A8D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3.2.1 测量参数：MIP、MEP、P0.1、P0.1MAX。</w:t>
      </w:r>
    </w:p>
    <w:p w14:paraId="483DB3A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3.2.2 压力测量范围：±20kPa；精确范围：±1%或者±0.05kPa，取其大者；分辨率：0.01kPa。</w:t>
      </w:r>
    </w:p>
    <w:p w14:paraId="4DCB166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3.2.3 检测过程激励式动画操作界面。</w:t>
      </w:r>
    </w:p>
    <w:p w14:paraId="0A735A81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3.2.4 语音智能播报：含操作使用方法，语音激励等。</w:t>
      </w:r>
    </w:p>
    <w:p w14:paraId="31A14D6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3.2.5 院感防控：独立操作手柄，具备交叉感染的防控措施，可徒手拆卸浸泡消毒压力传感器头部，可使用通用口径的一次性肺功能仪用过滤嘴。</w:t>
      </w:r>
    </w:p>
    <w:p w14:paraId="0E10E0F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3.3 </w:t>
      </w:r>
      <w:bookmarkStart w:id="2" w:name="_Toc102744564"/>
      <w:bookmarkStart w:id="3" w:name="_Toc102815261"/>
      <w:bookmarkStart w:id="4" w:name="_Toc114664795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肺弥散</w:t>
      </w:r>
      <w:bookmarkEnd w:id="2"/>
      <w:bookmarkEnd w:id="3"/>
      <w:bookmarkEnd w:id="4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模块</w:t>
      </w:r>
    </w:p>
    <w:p w14:paraId="6A1022E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3.3.1 测量参数：RV、TLC、FRC、DLCO、VA、KCO（DLCO/VA）。</w:t>
      </w:r>
    </w:p>
    <w:p w14:paraId="71B3B04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3.3.2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使用He（氦气）和CO（一氧化碳）的混合气体作为弥散残气的测试气体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</w:t>
      </w:r>
    </w:p>
    <w:p w14:paraId="3FD71D3A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3.3.3 CO传感器为电化学传感器。</w:t>
      </w:r>
    </w:p>
    <w:p w14:paraId="1030B261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3.3.4 CO传感器测量范围：0%-0.300%；精确范围：±0.3%；He传感器测量范围：0-9.5%；精确范围：±0.3%。</w:t>
      </w:r>
    </w:p>
    <w:p w14:paraId="3602691A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3.3.5 管道/阻断阀死腔：＜250mL。</w:t>
      </w:r>
    </w:p>
    <w:p w14:paraId="2457F10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3.3.6 阻断阀敏感性：&lt;5cmH2O @6L/s流量。</w:t>
      </w:r>
    </w:p>
    <w:p w14:paraId="486C9E02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3.3.7 弥散测试过程气流阻力：≤1.2cmH2O/(L/s)）@6L/s流量。</w:t>
      </w:r>
    </w:p>
    <w:p w14:paraId="56BD454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3.3.8 肺弥散模块的四通阀、阻断阀使用年限不低于5年。</w:t>
      </w:r>
    </w:p>
    <w:p w14:paraId="5429687B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3.3.9 使用肺弥散模块时，预热时间不超过20分钟。</w:t>
      </w:r>
    </w:p>
    <w:p w14:paraId="7CD36D0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3.4 气道阻力模块</w:t>
      </w:r>
    </w:p>
    <w:p w14:paraId="7BFFED05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3.4.1 测量参数：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ROCC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GOCC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</w:t>
      </w:r>
    </w:p>
    <w:p w14:paraId="138DF34A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3.4.2 阻断器压力范围：±20kPa；精确范围：±2%或者±0.1kPa，取其大者。</w:t>
      </w:r>
    </w:p>
    <w:p w14:paraId="6E714270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3.5 激发试验模块</w:t>
      </w:r>
    </w:p>
    <w:p w14:paraId="3E6613D5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3.5.1 测量参数：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PD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PC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PD20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PC20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</w:t>
      </w:r>
    </w:p>
    <w:p w14:paraId="3838AB39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3.5.2 雾化器类型：压缩式空气雾化器，流量：≥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 L/min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，工作压力：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0.7-1.1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巴。</w:t>
      </w:r>
    </w:p>
    <w:p w14:paraId="15425DF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 系统及数据连接</w:t>
      </w:r>
    </w:p>
    <w:p w14:paraId="1E08B5E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4.1 传输连接：支持USB/RS232数据线传输。</w:t>
      </w:r>
    </w:p>
    <w:p w14:paraId="08205B42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4.2 系统连接：配备肺功能测试系统软件，包</w:t>
      </w:r>
      <w:bookmarkStart w:id="5" w:name="_GoBack"/>
      <w:bookmarkEnd w:id="5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括：电脑端软件；支持电脑端测试数据上存至服务器端保存。</w:t>
      </w:r>
    </w:p>
    <w:p w14:paraId="346572D4"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 本项目不接受进口产品。</w:t>
      </w:r>
    </w:p>
    <w:p w14:paraId="10DE035E">
      <w:pPr>
        <w:ind w:firstLine="1920" w:firstLineChars="800"/>
        <w:jc w:val="both"/>
        <w:rPr>
          <w:rFonts w:hint="default" w:ascii="仿宋" w:hAnsi="仿宋" w:eastAsia="宋体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至少包括以下配置：</w:t>
      </w:r>
    </w:p>
    <w:tbl>
      <w:tblPr>
        <w:tblStyle w:val="10"/>
        <w:tblpPr w:leftFromText="180" w:rightFromText="180" w:vertAnchor="text" w:horzAnchor="page" w:tblpXSpec="center" w:tblpY="882"/>
        <w:tblOverlap w:val="never"/>
        <w:tblW w:w="7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095"/>
        <w:gridCol w:w="1324"/>
        <w:gridCol w:w="1324"/>
      </w:tblGrid>
      <w:tr w14:paraId="5065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4329C9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95" w:type="dxa"/>
          </w:tcPr>
          <w:p w14:paraId="7824AAD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324" w:type="dxa"/>
          </w:tcPr>
          <w:p w14:paraId="78A979A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24" w:type="dxa"/>
          </w:tcPr>
          <w:p w14:paraId="171E5B4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 w14:paraId="55E1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61CC00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95" w:type="dxa"/>
          </w:tcPr>
          <w:p w14:paraId="5544965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常规肺通气模块</w:t>
            </w:r>
          </w:p>
        </w:tc>
        <w:tc>
          <w:tcPr>
            <w:tcW w:w="1324" w:type="dxa"/>
          </w:tcPr>
          <w:p w14:paraId="6A35F8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4" w:type="dxa"/>
          </w:tcPr>
          <w:p w14:paraId="664D42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6FCD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6EAE27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95" w:type="dxa"/>
          </w:tcPr>
          <w:p w14:paraId="26E3932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呼吸压力模块</w:t>
            </w:r>
          </w:p>
        </w:tc>
        <w:tc>
          <w:tcPr>
            <w:tcW w:w="1324" w:type="dxa"/>
          </w:tcPr>
          <w:p w14:paraId="7790E7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4" w:type="dxa"/>
          </w:tcPr>
          <w:p w14:paraId="07AD65F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5B68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0EC08D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95" w:type="dxa"/>
          </w:tcPr>
          <w:p w14:paraId="1CE42C1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肺弥散模块</w:t>
            </w:r>
          </w:p>
        </w:tc>
        <w:tc>
          <w:tcPr>
            <w:tcW w:w="1324" w:type="dxa"/>
          </w:tcPr>
          <w:p w14:paraId="4A41A0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4" w:type="dxa"/>
          </w:tcPr>
          <w:p w14:paraId="797F233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7CF6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29E1585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95" w:type="dxa"/>
          </w:tcPr>
          <w:p w14:paraId="7DAD660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激发模块</w:t>
            </w:r>
          </w:p>
        </w:tc>
        <w:tc>
          <w:tcPr>
            <w:tcW w:w="1324" w:type="dxa"/>
          </w:tcPr>
          <w:p w14:paraId="0FFC8F3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4" w:type="dxa"/>
          </w:tcPr>
          <w:p w14:paraId="68DE9C3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1089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5670B6C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95" w:type="dxa"/>
          </w:tcPr>
          <w:p w14:paraId="1649B75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气道阻力模块</w:t>
            </w:r>
          </w:p>
        </w:tc>
        <w:tc>
          <w:tcPr>
            <w:tcW w:w="1324" w:type="dxa"/>
          </w:tcPr>
          <w:p w14:paraId="103EC55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4" w:type="dxa"/>
          </w:tcPr>
          <w:p w14:paraId="5A86C1D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72F7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4E1EB4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95" w:type="dxa"/>
          </w:tcPr>
          <w:p w14:paraId="34FE63B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台车</w:t>
            </w:r>
          </w:p>
        </w:tc>
        <w:tc>
          <w:tcPr>
            <w:tcW w:w="1324" w:type="dxa"/>
          </w:tcPr>
          <w:p w14:paraId="3CE21C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24" w:type="dxa"/>
          </w:tcPr>
          <w:p w14:paraId="4A8B36B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10E5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36469C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95" w:type="dxa"/>
          </w:tcPr>
          <w:p w14:paraId="0E7D2A4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环境模块</w:t>
            </w:r>
          </w:p>
        </w:tc>
        <w:tc>
          <w:tcPr>
            <w:tcW w:w="1324" w:type="dxa"/>
          </w:tcPr>
          <w:p w14:paraId="5B7C18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4" w:type="dxa"/>
          </w:tcPr>
          <w:p w14:paraId="0F19933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507B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1E9E65E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95" w:type="dxa"/>
          </w:tcPr>
          <w:p w14:paraId="2D9307E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电脑端软件</w:t>
            </w:r>
          </w:p>
        </w:tc>
        <w:tc>
          <w:tcPr>
            <w:tcW w:w="1324" w:type="dxa"/>
          </w:tcPr>
          <w:p w14:paraId="54A654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4" w:type="dxa"/>
          </w:tcPr>
          <w:p w14:paraId="15C65E2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685C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375843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95" w:type="dxa"/>
          </w:tcPr>
          <w:p w14:paraId="6C0C086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</w:t>
            </w:r>
          </w:p>
        </w:tc>
        <w:tc>
          <w:tcPr>
            <w:tcW w:w="1324" w:type="dxa"/>
          </w:tcPr>
          <w:p w14:paraId="7A2648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4" w:type="dxa"/>
          </w:tcPr>
          <w:p w14:paraId="5FA2C13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43CB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73D91F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95" w:type="dxa"/>
          </w:tcPr>
          <w:p w14:paraId="1CB8B66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说明书</w:t>
            </w:r>
          </w:p>
        </w:tc>
        <w:tc>
          <w:tcPr>
            <w:tcW w:w="1324" w:type="dxa"/>
          </w:tcPr>
          <w:p w14:paraId="6357D5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324" w:type="dxa"/>
          </w:tcPr>
          <w:p w14:paraId="2F854D5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4E8F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2FB8B38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95" w:type="dxa"/>
          </w:tcPr>
          <w:p w14:paraId="309DB71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合格证</w:t>
            </w:r>
          </w:p>
        </w:tc>
        <w:tc>
          <w:tcPr>
            <w:tcW w:w="1324" w:type="dxa"/>
          </w:tcPr>
          <w:p w14:paraId="5D79F3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324" w:type="dxa"/>
          </w:tcPr>
          <w:p w14:paraId="37C390D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47EE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76CEF0A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95" w:type="dxa"/>
          </w:tcPr>
          <w:p w14:paraId="6A5D9E8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保修卡</w:t>
            </w:r>
          </w:p>
        </w:tc>
        <w:tc>
          <w:tcPr>
            <w:tcW w:w="1324" w:type="dxa"/>
          </w:tcPr>
          <w:p w14:paraId="47127B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324" w:type="dxa"/>
          </w:tcPr>
          <w:p w14:paraId="5A436CE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390A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58AE6E0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95" w:type="dxa"/>
          </w:tcPr>
          <w:p w14:paraId="708F7CB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定标桶（3L）</w:t>
            </w:r>
          </w:p>
        </w:tc>
        <w:tc>
          <w:tcPr>
            <w:tcW w:w="1324" w:type="dxa"/>
            <w:vAlign w:val="center"/>
          </w:tcPr>
          <w:p w14:paraId="48C027F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24" w:type="dxa"/>
            <w:vAlign w:val="center"/>
          </w:tcPr>
          <w:p w14:paraId="2CAA7C4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7238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6" w:type="dxa"/>
          </w:tcPr>
          <w:p w14:paraId="6CEEF74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95" w:type="dxa"/>
          </w:tcPr>
          <w:p w14:paraId="201D04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激光打印机</w:t>
            </w:r>
          </w:p>
        </w:tc>
        <w:tc>
          <w:tcPr>
            <w:tcW w:w="1324" w:type="dxa"/>
            <w:vAlign w:val="center"/>
          </w:tcPr>
          <w:p w14:paraId="67B8D4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24" w:type="dxa"/>
            <w:vAlign w:val="center"/>
          </w:tcPr>
          <w:p w14:paraId="611696B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1143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76" w:type="dxa"/>
          </w:tcPr>
          <w:p w14:paraId="753278D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95" w:type="dxa"/>
          </w:tcPr>
          <w:p w14:paraId="770573A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一氧化氮检测仪</w:t>
            </w:r>
          </w:p>
        </w:tc>
        <w:tc>
          <w:tcPr>
            <w:tcW w:w="1324" w:type="dxa"/>
            <w:vAlign w:val="center"/>
          </w:tcPr>
          <w:p w14:paraId="1ED9512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4" w:type="dxa"/>
            <w:vAlign w:val="center"/>
          </w:tcPr>
          <w:p w14:paraId="2547C8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24E38183">
      <w:pPr>
        <w:pStyle w:val="2"/>
        <w:rPr>
          <w:rFonts w:hint="eastAsia"/>
          <w:sz w:val="24"/>
          <w:szCs w:val="24"/>
          <w:lang w:val="en-US" w:eastAsia="zh-CN"/>
        </w:rPr>
      </w:pPr>
    </w:p>
    <w:p w14:paraId="31CB0CE9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</w:p>
    <w:p w14:paraId="36286772">
      <w:pPr>
        <w:rPr>
          <w:rFonts w:hint="default"/>
          <w:sz w:val="24"/>
          <w:szCs w:val="24"/>
          <w:lang w:val="en-US" w:eastAsia="zh-CN"/>
        </w:rPr>
      </w:pPr>
    </w:p>
    <w:p w14:paraId="3E6D0594">
      <w:pPr>
        <w:pStyle w:val="12"/>
        <w:rPr>
          <w:rFonts w:hint="eastAsia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AE214">
    <w:pPr>
      <w:pStyle w:val="7"/>
      <w:pBdr>
        <w:bottom w:val="none" w:color="auto" w:sz="0" w:space="1"/>
      </w:pBdr>
    </w:pPr>
  </w:p>
  <w:p w14:paraId="6230FE43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1635F5D"/>
    <w:rsid w:val="52AC28C2"/>
    <w:rsid w:val="56A95510"/>
    <w:rsid w:val="58AA2E8C"/>
    <w:rsid w:val="597564A7"/>
    <w:rsid w:val="59B218E9"/>
    <w:rsid w:val="5A652BEC"/>
    <w:rsid w:val="5B9B684D"/>
    <w:rsid w:val="5DE01F29"/>
    <w:rsid w:val="5DEA1D56"/>
    <w:rsid w:val="5E2F7CBC"/>
    <w:rsid w:val="5E3C0093"/>
    <w:rsid w:val="5EBA113D"/>
    <w:rsid w:val="5EED0FE7"/>
    <w:rsid w:val="612B420C"/>
    <w:rsid w:val="63305BF6"/>
    <w:rsid w:val="6A3F27B5"/>
    <w:rsid w:val="6BE94F3A"/>
    <w:rsid w:val="73A1489D"/>
    <w:rsid w:val="751B134C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9"/>
    <w:pPr>
      <w:keepLines/>
      <w:spacing w:line="360" w:lineRule="auto"/>
      <w:outlineLvl w:val="3"/>
    </w:pPr>
    <w:rPr>
      <w:rFonts w:ascii="Cambria" w:hAnsi="Cambria" w:eastAsia="Times New Roman" w:cs="宋体"/>
      <w:bCs/>
      <w:sz w:val="24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4">
    <w:name w:val="页眉 字符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7">
    <w:name w:val="font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1376</Words>
  <Characters>1714</Characters>
  <Lines>18</Lines>
  <Paragraphs>5</Paragraphs>
  <TotalTime>2</TotalTime>
  <ScaleCrop>false</ScaleCrop>
  <LinksUpToDate>false</LinksUpToDate>
  <CharactersWithSpaces>1760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Administrator</cp:lastModifiedBy>
  <dcterms:modified xsi:type="dcterms:W3CDTF">2024-07-23T08:37:18Z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690A5EBA0EB241A99E1DE54414D2742D</vt:lpwstr>
  </property>
</Properties>
</file>