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73E39">
      <w:pPr>
        <w:rPr>
          <w:rFonts w:hint="eastAsia" w:ascii="微软雅黑" w:hAnsi="微软雅黑" w:eastAsia="微软雅黑" w:cs="微软雅黑"/>
          <w:b/>
          <w:color w:val="000000"/>
          <w:sz w:val="48"/>
          <w:szCs w:val="32"/>
        </w:rPr>
      </w:pPr>
      <w:bookmarkStart w:id="21" w:name="_GoBack"/>
      <w:bookmarkEnd w:id="21"/>
    </w:p>
    <w:p w14:paraId="44FAC395">
      <w:pPr>
        <w:rPr>
          <w:rFonts w:hint="eastAsia" w:ascii="微软雅黑" w:hAnsi="微软雅黑" w:eastAsia="微软雅黑" w:cs="微软雅黑"/>
          <w:b/>
          <w:color w:val="000000"/>
          <w:sz w:val="48"/>
          <w:szCs w:val="32"/>
        </w:rPr>
      </w:pPr>
    </w:p>
    <w:p w14:paraId="632E11C7">
      <w:pPr>
        <w:rPr>
          <w:rFonts w:hint="eastAsia" w:ascii="微软雅黑" w:hAnsi="微软雅黑" w:eastAsia="微软雅黑" w:cs="微软雅黑"/>
          <w:b/>
          <w:color w:val="000000"/>
          <w:sz w:val="48"/>
          <w:szCs w:val="32"/>
        </w:rPr>
      </w:pPr>
    </w:p>
    <w:p w14:paraId="796CF9A6">
      <w:pPr>
        <w:rPr>
          <w:rFonts w:hint="eastAsia" w:ascii="微软雅黑" w:hAnsi="微软雅黑" w:eastAsia="微软雅黑" w:cs="微软雅黑"/>
          <w:b/>
          <w:color w:val="000000"/>
          <w:sz w:val="48"/>
          <w:szCs w:val="32"/>
        </w:rPr>
      </w:pPr>
    </w:p>
    <w:p w14:paraId="64B246E5">
      <w:pPr>
        <w:rPr>
          <w:rFonts w:hint="eastAsia" w:ascii="微软雅黑" w:hAnsi="微软雅黑" w:eastAsia="微软雅黑" w:cs="微软雅黑"/>
          <w:b/>
          <w:color w:val="000000"/>
          <w:sz w:val="48"/>
          <w:szCs w:val="32"/>
        </w:rPr>
      </w:pPr>
    </w:p>
    <w:p w14:paraId="2656A71E">
      <w:pPr>
        <w:rPr>
          <w:rFonts w:hint="eastAsia" w:ascii="微软雅黑" w:hAnsi="微软雅黑" w:eastAsia="微软雅黑" w:cs="微软雅黑"/>
          <w:b/>
          <w:color w:val="000000"/>
          <w:sz w:val="48"/>
          <w:szCs w:val="32"/>
        </w:rPr>
      </w:pPr>
    </w:p>
    <w:p w14:paraId="6E2368E7">
      <w:pPr>
        <w:ind w:firstLine="360" w:firstLineChars="100"/>
        <w:rPr>
          <w:rFonts w:hint="eastAsia" w:ascii="微软雅黑" w:hAnsi="微软雅黑" w:eastAsia="微软雅黑" w:cs="微软雅黑"/>
          <w:b/>
          <w:bCs/>
          <w:color w:val="000000"/>
          <w:sz w:val="36"/>
          <w:szCs w:val="36"/>
        </w:rPr>
      </w:pPr>
      <w:r>
        <w:rPr>
          <w:rFonts w:hint="eastAsia" w:ascii="微软雅黑" w:hAnsi="微软雅黑" w:eastAsia="微软雅黑" w:cs="微软雅黑"/>
          <w:b/>
          <w:bCs/>
          <w:sz w:val="36"/>
          <w:szCs w:val="36"/>
        </w:rPr>
        <w:t>医用耗材（含试剂）院内物流延伸</w:t>
      </w:r>
      <w:r>
        <w:rPr>
          <w:rFonts w:hint="eastAsia" w:ascii="微软雅黑" w:hAnsi="微软雅黑" w:eastAsia="微软雅黑" w:cs="微软雅黑"/>
          <w:b/>
          <w:bCs/>
          <w:color w:val="000000"/>
          <w:sz w:val="36"/>
          <w:szCs w:val="36"/>
        </w:rPr>
        <w:t>服务（SPD服务）</w:t>
      </w:r>
    </w:p>
    <w:p w14:paraId="2F7B5F9A">
      <w:pPr>
        <w:rPr>
          <w:rFonts w:hint="eastAsia" w:ascii="微软雅黑" w:hAnsi="微软雅黑" w:eastAsia="微软雅黑" w:cs="微软雅黑"/>
          <w:b/>
          <w:color w:val="000000"/>
          <w:sz w:val="48"/>
          <w:szCs w:val="32"/>
        </w:rPr>
      </w:pPr>
    </w:p>
    <w:p w14:paraId="2B0F5EE1">
      <w:pPr>
        <w:rPr>
          <w:rFonts w:hint="eastAsia" w:ascii="微软雅黑" w:hAnsi="微软雅黑" w:eastAsia="微软雅黑" w:cs="微软雅黑"/>
          <w:b/>
          <w:color w:val="000000"/>
          <w:sz w:val="48"/>
          <w:szCs w:val="32"/>
        </w:rPr>
      </w:pPr>
    </w:p>
    <w:p w14:paraId="07B79F9B">
      <w:pPr>
        <w:rPr>
          <w:rFonts w:hint="eastAsia" w:ascii="微软雅黑" w:hAnsi="微软雅黑" w:eastAsia="微软雅黑" w:cs="微软雅黑"/>
          <w:b/>
          <w:color w:val="000000"/>
          <w:sz w:val="48"/>
          <w:szCs w:val="32"/>
        </w:rPr>
      </w:pPr>
    </w:p>
    <w:p w14:paraId="2A72A3D3">
      <w:pPr>
        <w:rPr>
          <w:rFonts w:hint="eastAsia" w:ascii="微软雅黑" w:hAnsi="微软雅黑" w:eastAsia="微软雅黑" w:cs="微软雅黑"/>
          <w:b/>
          <w:color w:val="000000"/>
          <w:sz w:val="48"/>
          <w:szCs w:val="32"/>
        </w:rPr>
      </w:pPr>
    </w:p>
    <w:p w14:paraId="0B039711">
      <w:pPr>
        <w:rPr>
          <w:rFonts w:hint="eastAsia" w:ascii="微软雅黑" w:hAnsi="微软雅黑" w:eastAsia="微软雅黑" w:cs="微软雅黑"/>
          <w:b/>
          <w:color w:val="000000"/>
          <w:sz w:val="48"/>
          <w:szCs w:val="32"/>
        </w:rPr>
      </w:pPr>
    </w:p>
    <w:p w14:paraId="23C7309C">
      <w:pPr>
        <w:rPr>
          <w:rFonts w:hint="eastAsia" w:ascii="微软雅黑" w:hAnsi="微软雅黑" w:eastAsia="微软雅黑" w:cs="微软雅黑"/>
          <w:b/>
          <w:color w:val="000000"/>
          <w:sz w:val="48"/>
          <w:szCs w:val="32"/>
        </w:rPr>
      </w:pPr>
    </w:p>
    <w:p w14:paraId="2BA08473">
      <w:pPr>
        <w:rPr>
          <w:rFonts w:hint="eastAsia" w:ascii="微软雅黑" w:hAnsi="微软雅黑" w:eastAsia="微软雅黑" w:cs="微软雅黑"/>
          <w:b/>
          <w:color w:val="000000"/>
          <w:sz w:val="48"/>
          <w:szCs w:val="32"/>
        </w:rPr>
      </w:pPr>
    </w:p>
    <w:p w14:paraId="4805F6F6">
      <w:pPr>
        <w:rPr>
          <w:rFonts w:hint="eastAsia" w:ascii="微软雅黑" w:hAnsi="微软雅黑" w:eastAsia="微软雅黑" w:cs="微软雅黑"/>
          <w:b/>
          <w:color w:val="000000"/>
          <w:sz w:val="48"/>
          <w:szCs w:val="32"/>
        </w:rPr>
      </w:pPr>
    </w:p>
    <w:p w14:paraId="3EBEA9EE">
      <w:pPr>
        <w:pStyle w:val="5"/>
        <w:spacing w:before="120" w:after="120" w:line="360" w:lineRule="auto"/>
        <w:jc w:val="both"/>
        <w:rPr>
          <w:rFonts w:hint="eastAsia" w:ascii="微软雅黑" w:hAnsi="微软雅黑" w:eastAsia="微软雅黑" w:cs="微软雅黑"/>
          <w:color w:val="000000"/>
          <w:sz w:val="44"/>
          <w:szCs w:val="44"/>
        </w:rPr>
        <w:sectPr>
          <w:pgSz w:w="11906" w:h="16838"/>
          <w:pgMar w:top="1440" w:right="1800" w:bottom="1440" w:left="1800" w:header="851" w:footer="992" w:gutter="0"/>
          <w:cols w:space="425" w:num="1"/>
          <w:docGrid w:type="lines" w:linePitch="312" w:charSpace="0"/>
        </w:sectPr>
      </w:pPr>
    </w:p>
    <w:p w14:paraId="19869D23">
      <w:pPr>
        <w:pStyle w:val="5"/>
        <w:spacing w:before="120" w:after="120" w:line="360" w:lineRule="auto"/>
        <w:jc w:val="center"/>
        <w:rPr>
          <w:rFonts w:hint="eastAsia" w:ascii="微软雅黑" w:hAnsi="微软雅黑" w:eastAsia="微软雅黑" w:cs="微软雅黑"/>
          <w:b/>
          <w:bCs/>
          <w:color w:val="000000"/>
          <w:sz w:val="44"/>
          <w:szCs w:val="44"/>
        </w:rPr>
      </w:pPr>
      <w:r>
        <w:rPr>
          <w:rFonts w:hint="eastAsia" w:ascii="微软雅黑" w:hAnsi="微软雅黑" w:eastAsia="微软雅黑" w:cs="微软雅黑"/>
          <w:b/>
          <w:bCs/>
          <w:color w:val="000000"/>
          <w:sz w:val="44"/>
          <w:szCs w:val="44"/>
        </w:rPr>
        <w:t>目    录</w:t>
      </w:r>
    </w:p>
    <w:p w14:paraId="2EC917E6">
      <w:pPr>
        <w:pStyle w:val="5"/>
        <w:spacing w:before="120" w:after="120" w:line="360" w:lineRule="auto"/>
        <w:jc w:val="center"/>
        <w:rPr>
          <w:rFonts w:hint="eastAsia" w:ascii="微软雅黑" w:hAnsi="微软雅黑" w:eastAsia="微软雅黑" w:cs="微软雅黑"/>
          <w:b/>
          <w:bCs/>
          <w:color w:val="000000"/>
          <w:sz w:val="44"/>
          <w:szCs w:val="44"/>
        </w:rPr>
      </w:pPr>
    </w:p>
    <w:p w14:paraId="3AEB004D">
      <w:pPr>
        <w:pStyle w:val="5"/>
        <w:spacing w:before="120" w:after="120" w:line="360" w:lineRule="auto"/>
        <w:jc w:val="center"/>
        <w:rPr>
          <w:rFonts w:hint="eastAsia" w:ascii="微软雅黑" w:hAnsi="微软雅黑" w:eastAsia="微软雅黑" w:cs="微软雅黑"/>
          <w:b/>
          <w:bCs/>
          <w:color w:val="000000"/>
          <w:sz w:val="44"/>
          <w:szCs w:val="44"/>
        </w:rPr>
      </w:pPr>
    </w:p>
    <w:p w14:paraId="4EA57C81">
      <w:pPr>
        <w:pStyle w:val="5"/>
        <w:spacing w:before="120" w:after="120" w:line="360" w:lineRule="auto"/>
        <w:jc w:val="center"/>
        <w:rPr>
          <w:rFonts w:hint="eastAsia" w:ascii="微软雅黑" w:hAnsi="微软雅黑" w:eastAsia="微软雅黑" w:cs="微软雅黑"/>
          <w:b/>
          <w:bCs/>
          <w:color w:val="000000"/>
          <w:sz w:val="44"/>
          <w:szCs w:val="44"/>
        </w:rPr>
      </w:pPr>
    </w:p>
    <w:p w14:paraId="4EBCD21C">
      <w:pPr>
        <w:pStyle w:val="8"/>
        <w:spacing w:line="480" w:lineRule="auto"/>
        <w:ind w:firstLine="320"/>
        <w:rPr>
          <w:rFonts w:hint="eastAsia" w:ascii="微软雅黑" w:hAnsi="微软雅黑" w:eastAsia="微软雅黑" w:cs="微软雅黑"/>
          <w:b w:val="0"/>
          <w:bCs w:val="0"/>
          <w:caps w:val="0"/>
          <w:color w:val="000000"/>
          <w:szCs w:val="22"/>
        </w:rPr>
      </w:pPr>
      <w:r>
        <w:rPr>
          <w:rFonts w:hint="eastAsia" w:ascii="微软雅黑" w:hAnsi="微软雅黑" w:eastAsia="微软雅黑" w:cs="微软雅黑"/>
          <w:color w:val="000000"/>
          <w:sz w:val="32"/>
        </w:rPr>
        <w:fldChar w:fldCharType="begin"/>
      </w:r>
      <w:r>
        <w:rPr>
          <w:rStyle w:val="16"/>
          <w:rFonts w:hint="eastAsia" w:ascii="微软雅黑" w:hAnsi="微软雅黑" w:eastAsia="微软雅黑" w:cs="微软雅黑"/>
          <w:color w:val="000000"/>
          <w:sz w:val="32"/>
        </w:rPr>
        <w:instrText xml:space="preserve"> TOC \o "1-1" \h \z \u </w:instrText>
      </w:r>
      <w:r>
        <w:rPr>
          <w:rFonts w:hint="eastAsia" w:ascii="微软雅黑" w:hAnsi="微软雅黑" w:eastAsia="微软雅黑" w:cs="微软雅黑"/>
          <w:color w:val="000000"/>
          <w:sz w:val="32"/>
        </w:rPr>
        <w:fldChar w:fldCharType="separate"/>
      </w:r>
      <w:r>
        <w:fldChar w:fldCharType="begin"/>
      </w:r>
      <w:r>
        <w:instrText xml:space="preserve"> HYPERLINK \l "_Toc466475723" </w:instrText>
      </w:r>
      <w:r>
        <w:fldChar w:fldCharType="separate"/>
      </w:r>
      <w:r>
        <w:rPr>
          <w:rStyle w:val="16"/>
          <w:rFonts w:hint="eastAsia" w:ascii="微软雅黑" w:hAnsi="微软雅黑" w:eastAsia="微软雅黑" w:cs="微软雅黑"/>
          <w:color w:val="000000"/>
          <w:sz w:val="32"/>
        </w:rPr>
        <w:t xml:space="preserve">第一章  </w:t>
      </w:r>
      <w:bookmarkStart w:id="0" w:name="_Hlt468442446"/>
      <w:bookmarkStart w:id="1" w:name="_Hlt468442447"/>
      <w:bookmarkStart w:id="2" w:name="_Hlt471806353"/>
      <w:bookmarkStart w:id="3" w:name="_Hlt471806354"/>
      <w:bookmarkStart w:id="4" w:name="_Hlt470872016"/>
      <w:bookmarkStart w:id="5" w:name="_Hlt470872362"/>
      <w:bookmarkStart w:id="6" w:name="_Hlt470872015"/>
      <w:r>
        <w:rPr>
          <w:rStyle w:val="16"/>
          <w:rFonts w:hint="eastAsia" w:ascii="微软雅黑" w:hAnsi="微软雅黑" w:eastAsia="微软雅黑" w:cs="微软雅黑"/>
          <w:color w:val="000000"/>
          <w:sz w:val="32"/>
        </w:rPr>
        <w:t>项目概况</w:t>
      </w:r>
      <w:r>
        <w:rPr>
          <w:rFonts w:hint="eastAsia" w:ascii="微软雅黑" w:hAnsi="微软雅黑" w:eastAsia="微软雅黑" w:cs="微软雅黑"/>
          <w:color w:val="000000"/>
          <w:sz w:val="32"/>
        </w:rPr>
        <w:tab/>
      </w:r>
      <w:bookmarkEnd w:id="0"/>
      <w:bookmarkEnd w:id="1"/>
      <w:bookmarkEnd w:id="2"/>
      <w:bookmarkEnd w:id="3"/>
      <w:bookmarkEnd w:id="4"/>
      <w:bookmarkEnd w:id="5"/>
      <w:bookmarkEnd w:id="6"/>
      <w:r>
        <w:rPr>
          <w:rFonts w:hint="eastAsia" w:ascii="微软雅黑" w:hAnsi="微软雅黑" w:eastAsia="微软雅黑" w:cs="微软雅黑"/>
          <w:color w:val="000000"/>
          <w:sz w:val="32"/>
        </w:rPr>
        <w:fldChar w:fldCharType="begin"/>
      </w:r>
      <w:r>
        <w:rPr>
          <w:rFonts w:hint="eastAsia" w:ascii="微软雅黑" w:hAnsi="微软雅黑" w:eastAsia="微软雅黑" w:cs="微软雅黑"/>
          <w:color w:val="000000"/>
          <w:sz w:val="32"/>
        </w:rPr>
        <w:instrText xml:space="preserve"> PAGEREF _Toc466475723 \h </w:instrText>
      </w:r>
      <w:r>
        <w:rPr>
          <w:rFonts w:hint="eastAsia" w:ascii="微软雅黑" w:hAnsi="微软雅黑" w:eastAsia="微软雅黑" w:cs="微软雅黑"/>
          <w:color w:val="000000"/>
          <w:sz w:val="32"/>
        </w:rPr>
        <w:fldChar w:fldCharType="separate"/>
      </w:r>
      <w:r>
        <w:rPr>
          <w:rFonts w:hint="eastAsia" w:ascii="微软雅黑" w:hAnsi="微软雅黑" w:eastAsia="微软雅黑" w:cs="微软雅黑"/>
          <w:color w:val="000000"/>
          <w:sz w:val="32"/>
        </w:rPr>
        <w:t>1</w:t>
      </w:r>
      <w:r>
        <w:rPr>
          <w:rFonts w:hint="eastAsia" w:ascii="微软雅黑" w:hAnsi="微软雅黑" w:eastAsia="微软雅黑" w:cs="微软雅黑"/>
          <w:color w:val="000000"/>
          <w:sz w:val="32"/>
        </w:rPr>
        <w:fldChar w:fldCharType="end"/>
      </w:r>
      <w:r>
        <w:rPr>
          <w:rFonts w:hint="eastAsia" w:ascii="微软雅黑" w:hAnsi="微软雅黑" w:eastAsia="微软雅黑" w:cs="微软雅黑"/>
          <w:color w:val="000000"/>
          <w:sz w:val="32"/>
        </w:rPr>
        <w:fldChar w:fldCharType="end"/>
      </w:r>
    </w:p>
    <w:p w14:paraId="7645512C">
      <w:pPr>
        <w:pStyle w:val="8"/>
        <w:spacing w:line="480" w:lineRule="auto"/>
        <w:rPr>
          <w:rFonts w:hint="eastAsia" w:ascii="微软雅黑" w:hAnsi="微软雅黑" w:eastAsia="微软雅黑" w:cs="微软雅黑"/>
          <w:b w:val="0"/>
          <w:bCs w:val="0"/>
          <w:caps w:val="0"/>
          <w:color w:val="000000"/>
          <w:szCs w:val="22"/>
        </w:rPr>
      </w:pPr>
      <w:r>
        <w:fldChar w:fldCharType="begin"/>
      </w:r>
      <w:r>
        <w:instrText xml:space="preserve"> HYPERLINK \l "_Toc466475724" </w:instrText>
      </w:r>
      <w:r>
        <w:fldChar w:fldCharType="separate"/>
      </w:r>
      <w:r>
        <w:rPr>
          <w:rStyle w:val="16"/>
          <w:rFonts w:hint="eastAsia" w:ascii="微软雅黑" w:hAnsi="微软雅黑" w:eastAsia="微软雅黑" w:cs="微软雅黑"/>
          <w:color w:val="000000"/>
          <w:sz w:val="32"/>
        </w:rPr>
        <w:t>第二</w:t>
      </w:r>
      <w:r>
        <w:rPr>
          <w:rStyle w:val="16"/>
          <w:rFonts w:hint="eastAsia" w:ascii="微软雅黑" w:hAnsi="微软雅黑" w:eastAsia="微软雅黑" w:cs="微软雅黑"/>
          <w:color w:val="000000"/>
          <w:sz w:val="32"/>
          <w:u w:val="none"/>
        </w:rPr>
        <w:t>章  项目采购</w:t>
      </w:r>
      <w:bookmarkStart w:id="7" w:name="_Hlt486430761"/>
      <w:bookmarkStart w:id="8" w:name="_Hlt486430760"/>
      <w:r>
        <w:rPr>
          <w:rStyle w:val="16"/>
          <w:rFonts w:hint="eastAsia" w:ascii="微软雅黑" w:hAnsi="微软雅黑" w:eastAsia="微软雅黑" w:cs="微软雅黑"/>
          <w:color w:val="000000"/>
          <w:sz w:val="32"/>
          <w:u w:val="none"/>
        </w:rPr>
        <w:t>需</w:t>
      </w:r>
      <w:bookmarkEnd w:id="7"/>
      <w:bookmarkEnd w:id="8"/>
      <w:bookmarkStart w:id="9" w:name="_Hlt471153411"/>
      <w:bookmarkStart w:id="10" w:name="_Hlt467083569"/>
      <w:bookmarkStart w:id="11" w:name="_Hlt467144737"/>
      <w:bookmarkStart w:id="12" w:name="_Hlt471153410"/>
      <w:bookmarkStart w:id="13" w:name="_Hlt470856584"/>
      <w:r>
        <w:rPr>
          <w:rStyle w:val="16"/>
          <w:rFonts w:hint="eastAsia" w:ascii="微软雅黑" w:hAnsi="微软雅黑" w:eastAsia="微软雅黑" w:cs="微软雅黑"/>
          <w:color w:val="000000"/>
          <w:sz w:val="32"/>
          <w:u w:val="none"/>
        </w:rPr>
        <w:t>求</w:t>
      </w:r>
      <w:bookmarkEnd w:id="9"/>
      <w:bookmarkEnd w:id="10"/>
      <w:bookmarkEnd w:id="11"/>
      <w:bookmarkEnd w:id="12"/>
      <w:bookmarkEnd w:id="13"/>
      <w:r>
        <w:rPr>
          <w:rFonts w:hint="eastAsia" w:ascii="微软雅黑" w:hAnsi="微软雅黑" w:eastAsia="微软雅黑" w:cs="微软雅黑"/>
          <w:color w:val="000000"/>
          <w:sz w:val="32"/>
        </w:rPr>
        <w:tab/>
      </w:r>
      <w:r>
        <w:rPr>
          <w:rFonts w:hint="eastAsia" w:ascii="微软雅黑" w:hAnsi="微软雅黑" w:eastAsia="微软雅黑" w:cs="微软雅黑"/>
          <w:color w:val="000000"/>
          <w:sz w:val="32"/>
        </w:rPr>
        <w:t>2</w:t>
      </w:r>
      <w:r>
        <w:rPr>
          <w:rFonts w:hint="eastAsia" w:ascii="微软雅黑" w:hAnsi="微软雅黑" w:eastAsia="微软雅黑" w:cs="微软雅黑"/>
          <w:color w:val="000000"/>
          <w:sz w:val="32"/>
        </w:rPr>
        <w:fldChar w:fldCharType="end"/>
      </w:r>
    </w:p>
    <w:p w14:paraId="45295808">
      <w:pPr>
        <w:pStyle w:val="8"/>
        <w:spacing w:line="480" w:lineRule="auto"/>
        <w:ind w:firstLine="0" w:firstLineChars="0"/>
        <w:rPr>
          <w:rStyle w:val="16"/>
          <w:rFonts w:hint="eastAsia" w:ascii="微软雅黑" w:hAnsi="微软雅黑" w:eastAsia="微软雅黑" w:cs="微软雅黑"/>
          <w:color w:val="000000"/>
          <w:sz w:val="32"/>
          <w:u w:val="none"/>
        </w:rPr>
      </w:pPr>
      <w:r>
        <w:rPr>
          <w:rFonts w:hint="eastAsia" w:ascii="微软雅黑" w:hAnsi="微软雅黑" w:eastAsia="微软雅黑" w:cs="微软雅黑"/>
          <w:color w:val="000000"/>
          <w:sz w:val="36"/>
          <w:szCs w:val="28"/>
        </w:rPr>
        <w:fldChar w:fldCharType="end"/>
      </w:r>
    </w:p>
    <w:p w14:paraId="72C827FC">
      <w:pPr>
        <w:rPr>
          <w:rFonts w:hint="eastAsia" w:ascii="微软雅黑" w:hAnsi="微软雅黑" w:eastAsia="微软雅黑" w:cs="微软雅黑"/>
          <w:b/>
          <w:color w:val="000000"/>
          <w:sz w:val="48"/>
          <w:szCs w:val="32"/>
        </w:rPr>
      </w:pPr>
    </w:p>
    <w:p w14:paraId="476C617E">
      <w:pPr>
        <w:rPr>
          <w:rFonts w:hint="eastAsia" w:ascii="微软雅黑" w:hAnsi="微软雅黑" w:eastAsia="微软雅黑" w:cs="微软雅黑"/>
          <w:b/>
          <w:color w:val="000000"/>
          <w:sz w:val="48"/>
          <w:szCs w:val="32"/>
        </w:rPr>
      </w:pPr>
    </w:p>
    <w:p w14:paraId="23E4F7CA">
      <w:pPr>
        <w:rPr>
          <w:rFonts w:hint="eastAsia" w:ascii="微软雅黑" w:hAnsi="微软雅黑" w:eastAsia="微软雅黑" w:cs="微软雅黑"/>
          <w:b/>
          <w:color w:val="000000"/>
          <w:sz w:val="48"/>
          <w:szCs w:val="32"/>
        </w:rPr>
      </w:pPr>
    </w:p>
    <w:p w14:paraId="2202D222">
      <w:pPr>
        <w:rPr>
          <w:rFonts w:hint="eastAsia" w:ascii="微软雅黑" w:hAnsi="微软雅黑" w:eastAsia="微软雅黑" w:cs="微软雅黑"/>
          <w:b/>
          <w:color w:val="000000"/>
          <w:sz w:val="48"/>
          <w:szCs w:val="32"/>
        </w:rPr>
      </w:pPr>
    </w:p>
    <w:p w14:paraId="61441C58">
      <w:pPr>
        <w:rPr>
          <w:rFonts w:hint="eastAsia" w:ascii="微软雅黑" w:hAnsi="微软雅黑" w:eastAsia="微软雅黑" w:cs="微软雅黑"/>
          <w:b/>
          <w:color w:val="000000"/>
          <w:sz w:val="48"/>
          <w:szCs w:val="32"/>
        </w:rPr>
      </w:pPr>
    </w:p>
    <w:p w14:paraId="0D004C71">
      <w:pPr>
        <w:rPr>
          <w:rFonts w:hint="eastAsia" w:ascii="微软雅黑" w:hAnsi="微软雅黑" w:eastAsia="微软雅黑" w:cs="微软雅黑"/>
          <w:b/>
          <w:color w:val="000000"/>
          <w:sz w:val="48"/>
          <w:szCs w:val="32"/>
        </w:rPr>
      </w:pPr>
    </w:p>
    <w:p w14:paraId="5F8130D0">
      <w:pPr>
        <w:rPr>
          <w:rFonts w:hint="eastAsia" w:ascii="微软雅黑" w:hAnsi="微软雅黑" w:eastAsia="微软雅黑" w:cs="微软雅黑"/>
          <w:b/>
          <w:color w:val="000000"/>
          <w:sz w:val="48"/>
          <w:szCs w:val="32"/>
        </w:rPr>
      </w:pPr>
    </w:p>
    <w:p w14:paraId="7A3A8A61">
      <w:pPr>
        <w:rPr>
          <w:rFonts w:hint="eastAsia" w:ascii="微软雅黑" w:hAnsi="微软雅黑" w:eastAsia="微软雅黑" w:cs="微软雅黑"/>
          <w:b/>
          <w:color w:val="000000"/>
          <w:sz w:val="48"/>
          <w:szCs w:val="32"/>
        </w:rPr>
      </w:pPr>
    </w:p>
    <w:p w14:paraId="0DA9E0AE">
      <w:pPr>
        <w:pStyle w:val="5"/>
        <w:snapToGrid w:val="0"/>
        <w:spacing w:before="120" w:after="120" w:line="320" w:lineRule="exact"/>
        <w:jc w:val="both"/>
        <w:outlineLvl w:val="0"/>
        <w:rPr>
          <w:rFonts w:hint="eastAsia" w:ascii="微软雅黑" w:hAnsi="微软雅黑" w:eastAsia="微软雅黑" w:cs="微软雅黑"/>
          <w:b/>
          <w:color w:val="000000"/>
          <w:sz w:val="32"/>
          <w:szCs w:val="32"/>
        </w:rPr>
        <w:sectPr>
          <w:footerReference r:id="rId3" w:type="default"/>
          <w:pgSz w:w="11906" w:h="16838"/>
          <w:pgMar w:top="1440" w:right="1800" w:bottom="1440" w:left="1800" w:header="851" w:footer="992" w:gutter="0"/>
          <w:pgNumType w:start="1"/>
          <w:cols w:space="425" w:num="1"/>
          <w:docGrid w:type="lines" w:linePitch="312" w:charSpace="0"/>
        </w:sectPr>
      </w:pPr>
      <w:bookmarkStart w:id="14" w:name="_Toc254970489"/>
      <w:bookmarkStart w:id="15" w:name="_Toc466475723"/>
      <w:bookmarkStart w:id="16" w:name="_Toc254970630"/>
    </w:p>
    <w:p w14:paraId="6892CEEE">
      <w:pPr>
        <w:pStyle w:val="5"/>
        <w:snapToGrid w:val="0"/>
        <w:spacing w:before="120" w:after="120" w:line="320" w:lineRule="exact"/>
        <w:jc w:val="center"/>
        <w:outlineLvl w:val="0"/>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 xml:space="preserve">第一章 </w:t>
      </w:r>
      <w:bookmarkEnd w:id="14"/>
      <w:bookmarkEnd w:id="15"/>
      <w:bookmarkEnd w:id="16"/>
      <w:r>
        <w:rPr>
          <w:rFonts w:hint="eastAsia" w:ascii="微软雅黑" w:hAnsi="微软雅黑" w:eastAsia="微软雅黑" w:cs="微软雅黑"/>
          <w:b/>
          <w:color w:val="000000"/>
          <w:sz w:val="32"/>
          <w:szCs w:val="32"/>
        </w:rPr>
        <w:t>项目概况</w:t>
      </w:r>
    </w:p>
    <w:p w14:paraId="63195C65">
      <w:pPr>
        <w:numPr>
          <w:ilvl w:val="0"/>
          <w:numId w:val="1"/>
        </w:numPr>
        <w:tabs>
          <w:tab w:val="left" w:pos="5660"/>
        </w:tabs>
        <w:autoSpaceDE w:val="0"/>
        <w:autoSpaceDN w:val="0"/>
        <w:adjustRightInd w:val="0"/>
        <w:snapToGrid w:val="0"/>
        <w:spacing w:line="4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项目名称：医用耗材（含试剂）院内物流延伸服务（SPD服务）</w:t>
      </w:r>
    </w:p>
    <w:p w14:paraId="5EFA8A06">
      <w:pPr>
        <w:tabs>
          <w:tab w:val="left" w:pos="5660"/>
        </w:tabs>
        <w:autoSpaceDE w:val="0"/>
        <w:autoSpaceDN w:val="0"/>
        <w:adjustRightInd w:val="0"/>
        <w:snapToGrid w:val="0"/>
        <w:spacing w:line="4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二、采购内容：医用耗材（含试剂）院内物流延伸服务（SPD服务）（具体内容详见采购需求）</w:t>
      </w:r>
    </w:p>
    <w:p w14:paraId="623920D1">
      <w:pPr>
        <w:tabs>
          <w:tab w:val="left" w:pos="5660"/>
        </w:tabs>
        <w:autoSpaceDE w:val="0"/>
        <w:autoSpaceDN w:val="0"/>
        <w:adjustRightInd w:val="0"/>
        <w:snapToGrid w:val="0"/>
        <w:spacing w:line="460" w:lineRule="exact"/>
        <w:ind w:firstLine="420" w:firstLineChars="200"/>
        <w:jc w:val="left"/>
        <w:rPr>
          <w:rFonts w:hint="eastAsia" w:ascii="微软雅黑" w:hAnsi="微软雅黑" w:eastAsia="微软雅黑" w:cs="微软雅黑"/>
          <w:b/>
          <w:bCs/>
          <w:color w:val="FF0000"/>
          <w:szCs w:val="21"/>
        </w:rPr>
      </w:pPr>
      <w:r>
        <w:rPr>
          <w:rFonts w:hint="eastAsia" w:ascii="微软雅黑" w:hAnsi="微软雅黑" w:eastAsia="微软雅黑" w:cs="微软雅黑"/>
          <w:color w:val="000000"/>
          <w:szCs w:val="21"/>
        </w:rPr>
        <w:t>三、招标的形式：公开招标</w:t>
      </w:r>
    </w:p>
    <w:p w14:paraId="1D1390E5">
      <w:pPr>
        <w:tabs>
          <w:tab w:val="left" w:pos="5660"/>
        </w:tabs>
        <w:autoSpaceDE w:val="0"/>
        <w:autoSpaceDN w:val="0"/>
        <w:adjustRightInd w:val="0"/>
        <w:snapToGrid w:val="0"/>
        <w:spacing w:line="4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四</w:t>
      </w:r>
      <w:r>
        <w:rPr>
          <w:rFonts w:hint="eastAsia" w:ascii="微软雅黑" w:hAnsi="微软雅黑" w:eastAsia="微软雅黑" w:cs="微软雅黑"/>
          <w:color w:val="000000"/>
          <w:szCs w:val="21"/>
        </w:rPr>
        <w:t>、合同周期：三年</w:t>
      </w:r>
    </w:p>
    <w:p w14:paraId="12AA6BC0">
      <w:pPr>
        <w:tabs>
          <w:tab w:val="left" w:pos="5660"/>
        </w:tabs>
        <w:autoSpaceDE w:val="0"/>
        <w:autoSpaceDN w:val="0"/>
        <w:adjustRightInd w:val="0"/>
        <w:snapToGrid w:val="0"/>
        <w:spacing w:line="4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五</w:t>
      </w:r>
      <w:r>
        <w:rPr>
          <w:rFonts w:hint="eastAsia" w:ascii="微软雅黑" w:hAnsi="微软雅黑" w:eastAsia="微软雅黑" w:cs="微软雅黑"/>
          <w:color w:val="000000"/>
          <w:szCs w:val="21"/>
        </w:rPr>
        <w:t>、投标人资格要求：</w:t>
      </w:r>
    </w:p>
    <w:p w14:paraId="2EF44DF6">
      <w:pPr>
        <w:tabs>
          <w:tab w:val="left" w:pos="5660"/>
        </w:tabs>
        <w:autoSpaceDE w:val="0"/>
        <w:autoSpaceDN w:val="0"/>
        <w:adjustRightInd w:val="0"/>
        <w:snapToGrid w:val="0"/>
        <w:spacing w:line="46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1．基本资格条件：</w:t>
      </w:r>
    </w:p>
    <w:p w14:paraId="6D5FAC75">
      <w:pPr>
        <w:tabs>
          <w:tab w:val="left" w:pos="5660"/>
        </w:tabs>
        <w:autoSpaceDE w:val="0"/>
        <w:autoSpaceDN w:val="0"/>
        <w:adjustRightInd w:val="0"/>
        <w:snapToGrid w:val="0"/>
        <w:spacing w:line="460" w:lineRule="exact"/>
        <w:ind w:left="420"/>
        <w:jc w:val="left"/>
        <w:rPr>
          <w:rFonts w:hint="eastAsia" w:ascii="微软雅黑" w:hAnsi="微软雅黑" w:eastAsia="微软雅黑" w:cs="微软雅黑"/>
          <w:szCs w:val="21"/>
        </w:rPr>
      </w:pPr>
      <w:r>
        <w:rPr>
          <w:rFonts w:hint="eastAsia" w:ascii="微软雅黑" w:hAnsi="微软雅黑" w:eastAsia="微软雅黑" w:cs="微软雅黑"/>
          <w:szCs w:val="21"/>
        </w:rPr>
        <w:t>1）投标人为在国内注册，生产或经营本次采购服务并具备独立企业法人资格的投标人。具有良好的商业信誉和健全的财务会计制度；</w:t>
      </w:r>
    </w:p>
    <w:p w14:paraId="0A67F965">
      <w:pPr>
        <w:tabs>
          <w:tab w:val="left" w:pos="5660"/>
        </w:tabs>
        <w:autoSpaceDE w:val="0"/>
        <w:autoSpaceDN w:val="0"/>
        <w:adjustRightInd w:val="0"/>
        <w:snapToGrid w:val="0"/>
        <w:spacing w:line="46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2）具有履行合同所必需的设备和专业技术能力；</w:t>
      </w:r>
    </w:p>
    <w:p w14:paraId="51D758F4">
      <w:pPr>
        <w:tabs>
          <w:tab w:val="left" w:pos="5660"/>
        </w:tabs>
        <w:autoSpaceDE w:val="0"/>
        <w:autoSpaceDN w:val="0"/>
        <w:adjustRightInd w:val="0"/>
        <w:snapToGrid w:val="0"/>
        <w:spacing w:line="460" w:lineRule="exact"/>
        <w:ind w:left="420"/>
        <w:jc w:val="left"/>
        <w:rPr>
          <w:rFonts w:hint="eastAsia" w:ascii="微软雅黑" w:hAnsi="微软雅黑" w:eastAsia="微软雅黑" w:cs="微软雅黑"/>
          <w:szCs w:val="21"/>
        </w:rPr>
      </w:pPr>
      <w:r>
        <w:rPr>
          <w:rFonts w:hint="eastAsia" w:ascii="微软雅黑" w:hAnsi="微软雅黑" w:eastAsia="微软雅黑" w:cs="微软雅黑"/>
          <w:szCs w:val="21"/>
        </w:rPr>
        <w:t>3）有依法缴纳税收和社会保障金的良好记录；</w:t>
      </w:r>
    </w:p>
    <w:p w14:paraId="4D7C6A7F">
      <w:pPr>
        <w:tabs>
          <w:tab w:val="left" w:pos="5660"/>
        </w:tabs>
        <w:autoSpaceDE w:val="0"/>
        <w:autoSpaceDN w:val="0"/>
        <w:adjustRightInd w:val="0"/>
        <w:snapToGrid w:val="0"/>
        <w:spacing w:line="460" w:lineRule="exact"/>
        <w:ind w:left="420"/>
        <w:jc w:val="left"/>
        <w:rPr>
          <w:rFonts w:hint="eastAsia" w:ascii="微软雅黑" w:hAnsi="微软雅黑" w:eastAsia="微软雅黑" w:cs="微软雅黑"/>
          <w:szCs w:val="21"/>
        </w:rPr>
      </w:pPr>
      <w:r>
        <w:rPr>
          <w:rFonts w:hint="eastAsia" w:ascii="微软雅黑" w:hAnsi="微软雅黑" w:eastAsia="微软雅黑" w:cs="微软雅黑"/>
          <w:szCs w:val="21"/>
        </w:rPr>
        <w:t>4）参加本次采购活动前三年内在经营活动中无重大违法记录：</w:t>
      </w:r>
    </w:p>
    <w:p w14:paraId="390E6C85">
      <w:pPr>
        <w:tabs>
          <w:tab w:val="left" w:pos="5660"/>
        </w:tabs>
        <w:autoSpaceDE w:val="0"/>
        <w:autoSpaceDN w:val="0"/>
        <w:adjustRightInd w:val="0"/>
        <w:snapToGrid w:val="0"/>
        <w:spacing w:line="460" w:lineRule="exact"/>
        <w:ind w:left="420"/>
        <w:jc w:val="left"/>
        <w:rPr>
          <w:rFonts w:hint="eastAsia" w:ascii="微软雅黑" w:hAnsi="微软雅黑" w:eastAsia="微软雅黑" w:cs="微软雅黑"/>
          <w:color w:val="000000"/>
          <w:szCs w:val="21"/>
          <w:lang w:eastAsia="zh-CN"/>
        </w:rPr>
      </w:pPr>
      <w:r>
        <w:rPr>
          <w:rFonts w:hint="eastAsia" w:ascii="微软雅黑" w:hAnsi="微软雅黑" w:eastAsia="微软雅黑" w:cs="微软雅黑"/>
          <w:szCs w:val="21"/>
        </w:rPr>
        <w:t>5）未列入失信被执行人、重大税收违法案件当事人名单</w:t>
      </w:r>
      <w:r>
        <w:rPr>
          <w:rFonts w:hint="eastAsia" w:ascii="微软雅黑" w:hAnsi="微软雅黑" w:eastAsia="微软雅黑" w:cs="微软雅黑"/>
          <w:szCs w:val="21"/>
          <w:lang w:eastAsia="zh-CN"/>
        </w:rPr>
        <w:t>。</w:t>
      </w:r>
    </w:p>
    <w:p w14:paraId="7965F0BF">
      <w:pPr>
        <w:tabs>
          <w:tab w:val="left" w:pos="5660"/>
        </w:tabs>
        <w:autoSpaceDE w:val="0"/>
        <w:autoSpaceDN w:val="0"/>
        <w:adjustRightInd w:val="0"/>
        <w:snapToGrid w:val="0"/>
        <w:spacing w:line="40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2．特定资格条件：</w:t>
      </w:r>
    </w:p>
    <w:p w14:paraId="56D1C5B3">
      <w:pPr>
        <w:tabs>
          <w:tab w:val="left" w:pos="5660"/>
        </w:tabs>
        <w:autoSpaceDE w:val="0"/>
        <w:autoSpaceDN w:val="0"/>
        <w:adjustRightInd w:val="0"/>
        <w:snapToGrid w:val="0"/>
        <w:spacing w:line="40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（1）资质要求：</w:t>
      </w:r>
      <w:r>
        <w:rPr>
          <w:rFonts w:hint="eastAsia" w:ascii="微软雅黑" w:hAnsi="微软雅黑" w:eastAsia="微软雅黑" w:cs="微软雅黑"/>
          <w:szCs w:val="21"/>
          <w:lang w:val="en-US" w:eastAsia="zh-CN"/>
        </w:rPr>
        <w:t>无</w:t>
      </w:r>
    </w:p>
    <w:p w14:paraId="489A36AC">
      <w:pPr>
        <w:tabs>
          <w:tab w:val="left" w:pos="5660"/>
        </w:tabs>
        <w:autoSpaceDE w:val="0"/>
        <w:autoSpaceDN w:val="0"/>
        <w:adjustRightInd w:val="0"/>
        <w:snapToGrid w:val="0"/>
        <w:spacing w:line="40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（2）业绩要求：无。</w:t>
      </w:r>
    </w:p>
    <w:p w14:paraId="5F304BBC">
      <w:pPr>
        <w:tabs>
          <w:tab w:val="left" w:pos="5660"/>
        </w:tabs>
        <w:autoSpaceDE w:val="0"/>
        <w:autoSpaceDN w:val="0"/>
        <w:adjustRightInd w:val="0"/>
        <w:snapToGrid w:val="0"/>
        <w:spacing w:line="40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szCs w:val="21"/>
        </w:rPr>
        <w:t>（3）其他要求：无。</w:t>
      </w:r>
    </w:p>
    <w:p w14:paraId="5AD650AC">
      <w:pPr>
        <w:tabs>
          <w:tab w:val="left" w:pos="5660"/>
        </w:tabs>
        <w:autoSpaceDE w:val="0"/>
        <w:autoSpaceDN w:val="0"/>
        <w:adjustRightInd w:val="0"/>
        <w:snapToGrid w:val="0"/>
        <w:spacing w:line="460" w:lineRule="exact"/>
        <w:ind w:firstLine="420" w:firstLineChars="200"/>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3．按照招标公告的规定获得招标文件。</w:t>
      </w:r>
    </w:p>
    <w:p w14:paraId="6AE1CD78">
      <w:pPr>
        <w:tabs>
          <w:tab w:val="left" w:pos="5660"/>
        </w:tabs>
        <w:autoSpaceDE w:val="0"/>
        <w:autoSpaceDN w:val="0"/>
        <w:adjustRightInd w:val="0"/>
        <w:snapToGrid w:val="0"/>
        <w:spacing w:line="460" w:lineRule="exact"/>
        <w:ind w:firstLine="420" w:firstLineChars="200"/>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4．本项目不接受联合体投标。</w:t>
      </w:r>
    </w:p>
    <w:p w14:paraId="50EE20EF">
      <w:pPr>
        <w:spacing w:line="460" w:lineRule="exact"/>
        <w:rPr>
          <w:rFonts w:hint="eastAsia" w:ascii="微软雅黑" w:hAnsi="微软雅黑" w:eastAsia="微软雅黑" w:cs="微软雅黑"/>
          <w:b/>
          <w:color w:val="000000"/>
          <w:sz w:val="48"/>
          <w:szCs w:val="32"/>
        </w:rPr>
      </w:pPr>
    </w:p>
    <w:p w14:paraId="1E212C96">
      <w:pPr>
        <w:rPr>
          <w:rFonts w:hint="eastAsia" w:ascii="微软雅黑" w:hAnsi="微软雅黑" w:eastAsia="微软雅黑" w:cs="微软雅黑"/>
          <w:b/>
          <w:color w:val="000000"/>
          <w:sz w:val="48"/>
          <w:szCs w:val="32"/>
        </w:rPr>
      </w:pPr>
    </w:p>
    <w:p w14:paraId="79B8440A">
      <w:pPr>
        <w:rPr>
          <w:rFonts w:hint="eastAsia" w:ascii="微软雅黑" w:hAnsi="微软雅黑" w:eastAsia="微软雅黑" w:cs="微软雅黑"/>
          <w:b/>
          <w:color w:val="000000"/>
          <w:sz w:val="48"/>
          <w:szCs w:val="32"/>
        </w:rPr>
      </w:pPr>
    </w:p>
    <w:p w14:paraId="2D1733C3">
      <w:pPr>
        <w:rPr>
          <w:rFonts w:hint="eastAsia" w:ascii="微软雅黑" w:hAnsi="微软雅黑" w:eastAsia="微软雅黑" w:cs="微软雅黑"/>
          <w:b/>
          <w:color w:val="000000"/>
          <w:sz w:val="48"/>
          <w:szCs w:val="32"/>
        </w:rPr>
      </w:pPr>
    </w:p>
    <w:p w14:paraId="6E298AB1">
      <w:pPr>
        <w:rPr>
          <w:rFonts w:hint="eastAsia" w:ascii="微软雅黑" w:hAnsi="微软雅黑" w:eastAsia="微软雅黑" w:cs="微软雅黑"/>
          <w:b/>
          <w:color w:val="000000"/>
          <w:sz w:val="48"/>
          <w:szCs w:val="32"/>
        </w:rPr>
      </w:pPr>
    </w:p>
    <w:p w14:paraId="4795DF3A">
      <w:pPr>
        <w:pStyle w:val="5"/>
        <w:snapToGrid w:val="0"/>
        <w:spacing w:before="120" w:after="120" w:line="400" w:lineRule="exact"/>
        <w:jc w:val="center"/>
        <w:outlineLvl w:val="0"/>
        <w:rPr>
          <w:rFonts w:hint="eastAsia" w:ascii="微软雅黑" w:hAnsi="微软雅黑" w:eastAsia="微软雅黑" w:cs="微软雅黑"/>
          <w:b/>
          <w:sz w:val="32"/>
          <w:szCs w:val="32"/>
        </w:rPr>
      </w:pPr>
    </w:p>
    <w:p w14:paraId="4ABA93BF">
      <w:pPr>
        <w:pStyle w:val="5"/>
        <w:snapToGrid w:val="0"/>
        <w:spacing w:before="120" w:after="120" w:line="400" w:lineRule="exact"/>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第二章  项目采购需求</w:t>
      </w:r>
    </w:p>
    <w:p w14:paraId="72C2F281">
      <w:pPr>
        <w:spacing w:line="360" w:lineRule="exac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一、项目要求</w:t>
      </w:r>
    </w:p>
    <w:p w14:paraId="3BDE4330">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为了实现医用耗材（包括高值耗材、低值耗耗材、检验试剂）的信息化、精细化管理，采购人计划通过公开招标的形式采购医用耗材院内物流延伸服务。兹邀请具备相关服务条件的公司前来投标，具体要求如下：</w:t>
      </w:r>
    </w:p>
    <w:p w14:paraId="58C459E2">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1.1、服务范围：</w:t>
      </w:r>
    </w:p>
    <w:p w14:paraId="7FB91DF2">
      <w:pPr>
        <w:spacing w:line="360" w:lineRule="exact"/>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（1）负责搭建医用耗材、诊断试剂院内物流管理服务平台，包括硬件、软件、服务团队的建设，完成医用耗材中心库、二级库等库房的改造，以满足医院医用耗材、诊断试剂信息化、精细化管理的需要；</w:t>
      </w:r>
    </w:p>
    <w:p w14:paraId="7BBECDDD">
      <w:pPr>
        <w:spacing w:line="360" w:lineRule="exact"/>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（2）负责院内医用耗材中心库、二级库（包括普通科室二级库、手术室二级库、检验科二级库等）的物流延伸服务；</w:t>
      </w:r>
    </w:p>
    <w:p w14:paraId="61EC885A">
      <w:pPr>
        <w:spacing w:line="360" w:lineRule="exact"/>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（3）负责院内医用耗材各科室的统一配送，包括：高值医用耗材、低值医用耗材、检验试剂等产品；</w:t>
      </w:r>
    </w:p>
    <w:p w14:paraId="4A37C248">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1.2、服务期限：三年，项目投入运行期限：自物流平台验收合格并开始运营之日起。</w:t>
      </w:r>
    </w:p>
    <w:p w14:paraId="582518F9">
      <w:pPr>
        <w:spacing w:line="360" w:lineRule="exac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二、服务要求</w:t>
      </w:r>
    </w:p>
    <w:p w14:paraId="223BF9FA">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为保障采购单位耗材（试剂）院内物流服务的质量，中标人负责搭建“医疗耗材院内物流信息化服务平台”（下文简称“物流平台”）（投入软件、硬件、服务团队）作为服务工具（产权属于中标人所有），平台要求在签订合同后4个月内完成，并要求管理运营该平台，实现医用耗材及诊断试剂管理的信息化、智能化，达到医院对医用耗材及检验试剂智慧化管理的目标。</w:t>
      </w:r>
    </w:p>
    <w:p w14:paraId="71F1A669">
      <w:pPr>
        <w:spacing w:line="360" w:lineRule="exact"/>
        <w:ind w:firstLine="420" w:firstLineChars="200"/>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zCs w:val="21"/>
        </w:rPr>
        <w:t>2.2、中标人负责安装物流平台信息化系统以满足医院实际需求的医用耗材、检验试剂等院内物流管理服务的需要，并能与医院的HIS、HRP、LIS等系统对接，能实时传输数据，确保采购单位数据准确，并承担所需接口费用及日常维护。</w:t>
      </w:r>
      <w:r>
        <w:rPr>
          <w:rFonts w:hint="eastAsia" w:ascii="微软雅黑" w:hAnsi="微软雅黑" w:eastAsia="微软雅黑" w:cs="微软雅黑"/>
        </w:rPr>
        <w:t>所提供的信息化系统软件具有独</w:t>
      </w:r>
      <w:r>
        <w:rPr>
          <w:rFonts w:hint="eastAsia" w:ascii="微软雅黑" w:hAnsi="微软雅黑" w:eastAsia="微软雅黑" w:cs="微软雅黑"/>
          <w:highlight w:val="none"/>
        </w:rPr>
        <w:t>立的著作权与系统开发商出具的授权书。</w:t>
      </w:r>
      <w:r>
        <w:rPr>
          <w:rFonts w:hint="eastAsia" w:ascii="微软雅黑" w:hAnsi="微软雅黑" w:eastAsia="微软雅黑" w:cs="微软雅黑"/>
          <w:color w:val="auto"/>
          <w:szCs w:val="21"/>
          <w:highlight w:val="none"/>
        </w:rPr>
        <w:t>本项目包含与第三方系统对接费用，本方及第三方接口费用由中标方承担。</w:t>
      </w:r>
    </w:p>
    <w:p w14:paraId="0F3B5D5E">
      <w:pPr>
        <w:spacing w:line="36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000000"/>
          <w:szCs w:val="21"/>
          <w:highlight w:val="none"/>
        </w:rPr>
        <w:t>2.3、</w:t>
      </w:r>
      <w:r>
        <w:rPr>
          <w:rFonts w:hint="eastAsia" w:ascii="微软雅黑" w:hAnsi="微软雅黑" w:eastAsia="微软雅黑" w:cs="微软雅黑"/>
          <w:color w:val="auto"/>
          <w:szCs w:val="21"/>
          <w:highlight w:val="none"/>
        </w:rPr>
        <w:t>本项目供应商必须保证提供的产品（软件、服务内容）系自主研发或者依法享有完全的知识产权</w:t>
      </w:r>
      <w:r>
        <w:rPr>
          <w:rFonts w:hint="eastAsia" w:ascii="微软雅黑" w:hAnsi="微软雅黑" w:eastAsia="微软雅黑" w:cs="微软雅黑"/>
          <w:color w:val="auto"/>
          <w:szCs w:val="21"/>
          <w:highlight w:val="none"/>
          <w:lang w:val="en-US" w:eastAsia="zh-CN"/>
        </w:rPr>
        <w:t>或拥有其使用权</w:t>
      </w:r>
      <w:r>
        <w:rPr>
          <w:rFonts w:hint="eastAsia" w:ascii="微软雅黑" w:hAnsi="微软雅黑" w:eastAsia="微软雅黑" w:cs="微软雅黑"/>
          <w:color w:val="auto"/>
          <w:szCs w:val="21"/>
          <w:highlight w:val="none"/>
        </w:rPr>
        <w:t>，并且提供本项目运行所需的服务器操作系统、中间件、数据库等</w:t>
      </w:r>
      <w:r>
        <w:rPr>
          <w:rFonts w:hint="eastAsia" w:ascii="微软雅黑" w:hAnsi="微软雅黑" w:eastAsia="微软雅黑" w:cs="微软雅黑"/>
          <w:color w:val="auto"/>
          <w:szCs w:val="21"/>
          <w:highlight w:val="none"/>
          <w:lang w:val="en-US" w:eastAsia="zh-CN"/>
        </w:rPr>
        <w:t>为</w:t>
      </w:r>
      <w:r>
        <w:rPr>
          <w:rFonts w:hint="eastAsia" w:ascii="微软雅黑" w:hAnsi="微软雅黑" w:eastAsia="微软雅黑" w:cs="微软雅黑"/>
          <w:color w:val="auto"/>
          <w:szCs w:val="21"/>
          <w:highlight w:val="none"/>
        </w:rPr>
        <w:t>正版授权。采购人在中华人民共和国境内使用供应商提供的产品及服务时免受第三方提出的侵犯其专利权或其它知识产权的起诉。如果第三方提出侵权指控，中标供应商应承担由此而引起的一切法律责任和费用。</w:t>
      </w:r>
    </w:p>
    <w:p w14:paraId="572A5F0C">
      <w:pPr>
        <w:spacing w:line="360" w:lineRule="exact"/>
        <w:ind w:firstLine="420" w:firstLineChars="200"/>
        <w:rPr>
          <w:rFonts w:hint="default" w:ascii="Arial" w:hAnsi="Arial" w:cs="Arial" w:eastAsiaTheme="minorEastAsia"/>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2.4、本项目所产生的所有数据所有者均为采购方，供应商在任何时期均不得不经允许删除、拷贝、外传，不得设置障碍影响采购方获取数据。本项目所涉及的产品符合”国家信息安全等级保护三级认证”要求，在系统实施及运行期间，如使用方自行检测或按照国家要求测评，存在不符合以上要求或安全漏洞，供应商应立即整改，不得另外收取费用。</w:t>
      </w:r>
    </w:p>
    <w:p w14:paraId="5E8A0BFE">
      <w:pPr>
        <w:spacing w:line="360" w:lineRule="exact"/>
        <w:ind w:firstLine="420" w:firstLineChars="200"/>
        <w:rPr>
          <w:rFonts w:hint="eastAsia" w:ascii="微软雅黑" w:hAnsi="微软雅黑" w:eastAsia="微软雅黑" w:cs="微软雅黑"/>
          <w:color w:val="000000"/>
          <w:szCs w:val="21"/>
        </w:rPr>
      </w:pPr>
      <w:r>
        <w:rPr>
          <w:rFonts w:ascii="Arial" w:hAnsi="Arial" w:cs="Arial"/>
          <w:color w:val="auto"/>
          <w:szCs w:val="21"/>
          <w:highlight w:val="none"/>
        </w:rPr>
        <w:t>2</w:t>
      </w:r>
      <w:r>
        <w:rPr>
          <w:rFonts w:hint="eastAsia" w:ascii="Arial" w:hAnsi="Arial" w:cs="Arial"/>
          <w:color w:val="auto"/>
          <w:szCs w:val="21"/>
          <w:highlight w:val="none"/>
        </w:rPr>
        <w:t>.</w:t>
      </w:r>
      <w:r>
        <w:rPr>
          <w:rFonts w:hint="eastAsia" w:ascii="Arial" w:hAnsi="Arial" w:cs="Arial"/>
          <w:color w:val="auto"/>
          <w:szCs w:val="21"/>
          <w:highlight w:val="none"/>
          <w:lang w:val="en-US" w:eastAsia="zh-CN"/>
        </w:rPr>
        <w:t>5</w:t>
      </w:r>
      <w:r>
        <w:rPr>
          <w:rFonts w:hint="eastAsia" w:ascii="Arial" w:hAnsi="Arial" w:cs="Arial"/>
          <w:color w:val="auto"/>
          <w:szCs w:val="21"/>
          <w:highlight w:val="none"/>
        </w:rPr>
        <w:t>、</w:t>
      </w:r>
      <w:r>
        <w:rPr>
          <w:rFonts w:hint="eastAsia" w:ascii="微软雅黑" w:hAnsi="微软雅黑" w:eastAsia="微软雅黑" w:cs="微软雅黑"/>
          <w:color w:val="000000"/>
          <w:szCs w:val="21"/>
          <w:highlight w:val="none"/>
        </w:rPr>
        <w:t>中标人负责帮助医院各病区、门急诊、医技科室及相关部门的医用耗材智慧化管</w:t>
      </w:r>
      <w:r>
        <w:rPr>
          <w:rFonts w:hint="eastAsia" w:ascii="微软雅黑" w:hAnsi="微软雅黑" w:eastAsia="微软雅黑" w:cs="微软雅黑"/>
          <w:color w:val="000000"/>
          <w:szCs w:val="21"/>
        </w:rPr>
        <w:t>理建设，并将其改造成符合新标准和信息化、智慧化要求的中心库和病区二级库房、手术室二级库、检验科二级库等，以满足新的配送需求。库房大小应能满足日常工作需要，具备监控、电脑、扫描、自动读取消耗数据等系统终端设备及配套设施（如货架、周转箱、PDA、智能柜、看板等）配送要求</w:t>
      </w:r>
    </w:p>
    <w:p w14:paraId="70FB073B">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Arial" w:hAnsi="Arial" w:cs="Arial"/>
          <w:color w:val="auto"/>
          <w:szCs w:val="21"/>
          <w:lang w:val="en-US" w:eastAsia="zh-CN"/>
        </w:rPr>
        <w:t>6</w:t>
      </w:r>
      <w:r>
        <w:rPr>
          <w:rFonts w:hint="eastAsia" w:ascii="微软雅黑" w:hAnsi="微软雅黑" w:eastAsia="微软雅黑" w:cs="微软雅黑"/>
          <w:color w:val="000000"/>
          <w:szCs w:val="21"/>
        </w:rPr>
        <w:t>、院内服务团队的要求：中标人必须安排充足、专业的院内耗材物流管理人员，包括中心库管理人员、二级库管理人员、科室管理人员、配送人员等，要求进驻医院的人员必须满足日常配送需求、技术熟练，服务热情、素质过硬。配备的驻院人员超过</w:t>
      </w:r>
      <w:r>
        <w:rPr>
          <w:rFonts w:hint="eastAsia" w:ascii="微软雅黑" w:hAnsi="微软雅黑" w:eastAsia="微软雅黑" w:cs="微软雅黑"/>
          <w:szCs w:val="21"/>
        </w:rPr>
        <w:t>10</w:t>
      </w:r>
      <w:r>
        <w:rPr>
          <w:rFonts w:hint="eastAsia" w:ascii="微软雅黑" w:hAnsi="微软雅黑" w:eastAsia="微软雅黑" w:cs="微软雅黑"/>
          <w:color w:val="000000"/>
          <w:szCs w:val="21"/>
        </w:rPr>
        <w:t>人。</w:t>
      </w:r>
    </w:p>
    <w:p w14:paraId="69515B37">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、院内配送要求</w:t>
      </w:r>
    </w:p>
    <w:p w14:paraId="712545B0">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.1、必须保证院内物流配送物资的及时性、准确性、完好性。</w:t>
      </w:r>
    </w:p>
    <w:p w14:paraId="3DEF62AE">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.2、时效：物资配送要求时间能</w:t>
      </w:r>
      <w:r>
        <w:rPr>
          <w:rFonts w:hint="eastAsia" w:ascii="微软雅黑" w:hAnsi="微软雅黑" w:eastAsia="微软雅黑" w:cs="微软雅黑"/>
          <w:szCs w:val="21"/>
        </w:rPr>
        <w:t>在规定时间内送达医院使用科室，应急物资需在规定时间</w:t>
      </w:r>
      <w:r>
        <w:rPr>
          <w:rFonts w:hint="eastAsia" w:ascii="微软雅黑" w:hAnsi="微软雅黑" w:eastAsia="微软雅黑" w:cs="微软雅黑"/>
          <w:color w:val="000000"/>
          <w:szCs w:val="21"/>
        </w:rPr>
        <w:t>小时内送达医院指定地点。经医院中心库办理相关验货手续，合格后及时配送到使用科室（二级库）；</w:t>
      </w:r>
    </w:p>
    <w:p w14:paraId="23A97CDD">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.2、物资配送到病区二级库未实际使用前，物资产权归供应商，使用记账后物资的产权转为医院并作为结帐的依据。</w:t>
      </w:r>
    </w:p>
    <w:p w14:paraId="3827E0FC">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.3、严格按照医院原有使用产品的品牌、产地、型号、价格、供应商进行统一配送。严禁自行更改品牌、价格、更换供应商等违规配送。</w:t>
      </w:r>
    </w:p>
    <w:p w14:paraId="6CEEEDF3">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、质量要求：有完善的质量保证体系和制度，把好质量关，承诺对配送到医院使用点的产品质量负全责。如因产品质量出现问题，给医院造成纠纷和经济损失由中标人及耗材供应商协商负责。</w:t>
      </w:r>
    </w:p>
    <w:p w14:paraId="252B6B48">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、为保障项目稳步推进，中标人需安装院内智慧物流管理平台系统及设备，对医院二级库进行改造。并对相关人员进行管理系统操作、配送流程等进行专业培训，直至熟练掌握。</w:t>
      </w:r>
    </w:p>
    <w:p w14:paraId="0DBF6122">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Arial" w:hAnsi="Arial" w:cs="Arial"/>
          <w:color w:val="auto"/>
          <w:szCs w:val="21"/>
          <w:lang w:val="en-US" w:eastAsia="zh-CN"/>
        </w:rPr>
        <w:t>10</w:t>
      </w:r>
      <w:r>
        <w:rPr>
          <w:rFonts w:hint="eastAsia" w:ascii="微软雅黑" w:hAnsi="微软雅黑" w:eastAsia="微软雅黑" w:cs="微软雅黑"/>
          <w:color w:val="000000"/>
          <w:szCs w:val="21"/>
        </w:rPr>
        <w:t>、医院将按照智慧化管理的方式对医疗耗材进行管理，医院的耗材试剂供应商按照原来的送货方式无法达到该智慧化管理的要求，中标人将帮助供应商把所送货物完成智能化、入库、出库、记账，并根据科室需求分配到各个科室；中标人为医院供应商提供货物智能化、电子化管理，货物订单、资质证照电子化管理，货物保管和库存、发票处理等服务，可以按照固定的服务费率，向医院或医院的耗材试剂供应商收取物流管理服务费，作为维持该平台正常运营的收入来源。</w:t>
      </w:r>
    </w:p>
    <w:p w14:paraId="5370E346">
      <w:pPr>
        <w:spacing w:line="360" w:lineRule="exact"/>
        <w:ind w:firstLine="420" w:firstLineChars="200"/>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2.11、中标人须将耗材试剂消耗(结算)数据与医院HIS库存管理系统对接，满足医院库存系统入库、出库、结算、数据审核等需求。</w:t>
      </w:r>
    </w:p>
    <w:p w14:paraId="01FDFCC5">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hint="eastAsia" w:ascii="Arial" w:hAnsi="Arial" w:cs="Arial"/>
          <w:color w:val="auto"/>
          <w:szCs w:val="21"/>
          <w:lang w:val="en-US" w:eastAsia="zh-CN"/>
        </w:rPr>
        <w:t>12</w:t>
      </w:r>
      <w:r>
        <w:rPr>
          <w:rFonts w:hint="eastAsia" w:ascii="微软雅黑" w:hAnsi="微软雅黑" w:eastAsia="微软雅黑" w:cs="微软雅黑"/>
          <w:color w:val="000000"/>
          <w:szCs w:val="21"/>
        </w:rPr>
        <w:t>、采购单位会根据确定的服务要求对中标供应商的工作进行定期检查，对管理不规范的问题下达整改意见书，中标人必须进行针对性整改。</w:t>
      </w:r>
    </w:p>
    <w:p w14:paraId="70C62A01">
      <w:pPr>
        <w:spacing w:line="36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、其他：合同执行过程中如遇国家政策调整或与国家或上级规定相抵触，按国家相关规定执行。其他未尽事宜采购单位与中标人双方协商解决。</w:t>
      </w:r>
    </w:p>
    <w:p w14:paraId="52B166EF">
      <w:pPr>
        <w:adjustRightInd w:val="0"/>
        <w:snapToGrid w:val="0"/>
        <w:spacing w:line="240" w:lineRule="auto"/>
        <w:rPr>
          <w:rFonts w:hint="eastAsia" w:ascii="微软雅黑" w:hAnsi="微软雅黑" w:eastAsia="微软雅黑" w:cs="微软雅黑"/>
          <w:b/>
          <w:bCs/>
          <w:sz w:val="24"/>
          <w:szCs w:val="24"/>
        </w:rPr>
      </w:pPr>
      <w:r>
        <w:rPr>
          <w:rFonts w:hint="eastAsia" w:ascii="微软雅黑" w:hAnsi="微软雅黑" w:eastAsia="微软雅黑" w:cs="微软雅黑"/>
          <w:b/>
          <w:bCs/>
          <w:color w:val="000000"/>
          <w:sz w:val="24"/>
          <w:szCs w:val="24"/>
        </w:rPr>
        <w:t>三、</w:t>
      </w:r>
      <w:r>
        <w:rPr>
          <w:rFonts w:hint="eastAsia" w:ascii="微软雅黑" w:hAnsi="微软雅黑" w:eastAsia="微软雅黑" w:cs="微软雅黑"/>
          <w:b/>
          <w:bCs/>
          <w:sz w:val="24"/>
          <w:szCs w:val="24"/>
        </w:rPr>
        <w:t>平台建设要求</w:t>
      </w:r>
    </w:p>
    <w:p w14:paraId="7AC6AE16">
      <w:pPr>
        <w:adjustRightInd w:val="0"/>
        <w:snapToGrid w:val="0"/>
        <w:spacing w:line="24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4.1、建设对象</w:t>
      </w:r>
    </w:p>
    <w:p w14:paraId="331179A7">
      <w:pPr>
        <w:adjustRightInd w:val="0"/>
        <w:snapToGrid w:val="0"/>
        <w:spacing w:line="24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采购单位</w:t>
      </w:r>
      <w:r>
        <w:rPr>
          <w:rFonts w:hint="eastAsia" w:ascii="微软雅黑" w:hAnsi="微软雅黑" w:eastAsia="微软雅黑" w:cs="微软雅黑"/>
          <w:color w:val="000000"/>
          <w:szCs w:val="21"/>
        </w:rPr>
        <w:t>医用耗材（含诊断试剂）</w:t>
      </w:r>
      <w:r>
        <w:rPr>
          <w:rFonts w:hint="eastAsia" w:ascii="微软雅黑" w:hAnsi="微软雅黑" w:eastAsia="微软雅黑" w:cs="微软雅黑"/>
          <w:sz w:val="22"/>
          <w:szCs w:val="28"/>
        </w:rPr>
        <w:t>院内智慧物流服务平台。</w:t>
      </w:r>
    </w:p>
    <w:p w14:paraId="4074D8A7">
      <w:pPr>
        <w:adjustRightInd w:val="0"/>
        <w:snapToGrid w:val="0"/>
        <w:spacing w:line="24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4.2、建设区域</w:t>
      </w:r>
    </w:p>
    <w:tbl>
      <w:tblPr>
        <w:tblStyle w:val="12"/>
        <w:tblW w:w="7965"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3234"/>
        <w:gridCol w:w="785"/>
        <w:gridCol w:w="3236"/>
      </w:tblGrid>
      <w:tr w14:paraId="57741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tcPr>
          <w:p w14:paraId="5DA86877">
            <w:pPr>
              <w:adjustRightInd w:val="0"/>
              <w:snapToGrid w:val="0"/>
              <w:spacing w:line="360" w:lineRule="auto"/>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序号</w:t>
            </w:r>
          </w:p>
        </w:tc>
        <w:tc>
          <w:tcPr>
            <w:tcW w:w="3232" w:type="dxa"/>
            <w:tcBorders>
              <w:top w:val="single" w:color="000000" w:sz="4" w:space="0"/>
              <w:left w:val="single" w:color="000000" w:sz="4" w:space="0"/>
              <w:bottom w:val="single" w:color="000000" w:sz="4" w:space="0"/>
              <w:right w:val="single" w:color="000000" w:sz="4" w:space="0"/>
            </w:tcBorders>
          </w:tcPr>
          <w:p w14:paraId="20BC895B">
            <w:pPr>
              <w:adjustRightInd w:val="0"/>
              <w:snapToGrid w:val="0"/>
              <w:spacing w:line="360" w:lineRule="auto"/>
              <w:ind w:firstLine="440" w:firstLineChars="200"/>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名称</w:t>
            </w:r>
          </w:p>
        </w:tc>
        <w:tc>
          <w:tcPr>
            <w:tcW w:w="785" w:type="dxa"/>
            <w:tcBorders>
              <w:top w:val="single" w:color="000000" w:sz="4" w:space="0"/>
              <w:left w:val="single" w:color="000000" w:sz="4" w:space="0"/>
              <w:bottom w:val="single" w:color="000000" w:sz="4" w:space="0"/>
              <w:right w:val="single" w:color="000000" w:sz="4" w:space="0"/>
            </w:tcBorders>
          </w:tcPr>
          <w:p w14:paraId="7BEE1FA7">
            <w:pPr>
              <w:adjustRightInd w:val="0"/>
              <w:snapToGrid w:val="0"/>
              <w:spacing w:line="360" w:lineRule="auto"/>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数量</w:t>
            </w:r>
          </w:p>
        </w:tc>
        <w:tc>
          <w:tcPr>
            <w:tcW w:w="3234" w:type="dxa"/>
            <w:tcBorders>
              <w:top w:val="single" w:color="000000" w:sz="4" w:space="0"/>
              <w:left w:val="single" w:color="000000" w:sz="4" w:space="0"/>
              <w:bottom w:val="single" w:color="000000" w:sz="4" w:space="0"/>
              <w:right w:val="single" w:color="000000" w:sz="4" w:space="0"/>
            </w:tcBorders>
          </w:tcPr>
          <w:p w14:paraId="79414153">
            <w:pPr>
              <w:adjustRightInd w:val="0"/>
              <w:snapToGrid w:val="0"/>
              <w:spacing w:line="360" w:lineRule="auto"/>
              <w:ind w:firstLine="440" w:firstLineChars="200"/>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说明</w:t>
            </w:r>
          </w:p>
        </w:tc>
      </w:tr>
      <w:tr w14:paraId="23DD0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1AA9E860">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p>
        </w:tc>
        <w:tc>
          <w:tcPr>
            <w:tcW w:w="3232" w:type="dxa"/>
            <w:tcBorders>
              <w:top w:val="single" w:color="000000" w:sz="4" w:space="0"/>
              <w:left w:val="single" w:color="000000" w:sz="4" w:space="0"/>
              <w:bottom w:val="single" w:color="000000" w:sz="4" w:space="0"/>
              <w:right w:val="single" w:color="000000" w:sz="4" w:space="0"/>
            </w:tcBorders>
          </w:tcPr>
          <w:p w14:paraId="0344779B">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中心库</w:t>
            </w:r>
          </w:p>
        </w:tc>
        <w:tc>
          <w:tcPr>
            <w:tcW w:w="785" w:type="dxa"/>
            <w:tcBorders>
              <w:top w:val="single" w:color="000000" w:sz="4" w:space="0"/>
              <w:left w:val="single" w:color="000000" w:sz="4" w:space="0"/>
              <w:bottom w:val="single" w:color="000000" w:sz="4" w:space="0"/>
              <w:right w:val="single" w:color="000000" w:sz="4" w:space="0"/>
            </w:tcBorders>
          </w:tcPr>
          <w:p w14:paraId="74AD28C8">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p>
        </w:tc>
        <w:tc>
          <w:tcPr>
            <w:tcW w:w="3234" w:type="dxa"/>
            <w:tcBorders>
              <w:top w:val="single" w:color="000000" w:sz="4" w:space="0"/>
              <w:left w:val="single" w:color="000000" w:sz="4" w:space="0"/>
              <w:bottom w:val="single" w:color="000000" w:sz="4" w:space="0"/>
              <w:right w:val="single" w:color="000000" w:sz="4" w:space="0"/>
            </w:tcBorders>
          </w:tcPr>
          <w:p w14:paraId="320278B2">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院内中心库</w:t>
            </w:r>
          </w:p>
        </w:tc>
      </w:tr>
      <w:tr w14:paraId="7A897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728C67B1">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2</w:t>
            </w:r>
          </w:p>
        </w:tc>
        <w:tc>
          <w:tcPr>
            <w:tcW w:w="3232" w:type="dxa"/>
            <w:tcBorders>
              <w:top w:val="single" w:color="000000" w:sz="4" w:space="0"/>
              <w:left w:val="single" w:color="000000" w:sz="4" w:space="0"/>
              <w:bottom w:val="single" w:color="000000" w:sz="4" w:space="0"/>
              <w:right w:val="single" w:color="000000" w:sz="4" w:space="0"/>
            </w:tcBorders>
          </w:tcPr>
          <w:p w14:paraId="0F72E01F">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科室库</w:t>
            </w:r>
          </w:p>
        </w:tc>
        <w:tc>
          <w:tcPr>
            <w:tcW w:w="785" w:type="dxa"/>
            <w:tcBorders>
              <w:top w:val="single" w:color="000000" w:sz="4" w:space="0"/>
              <w:left w:val="single" w:color="000000" w:sz="4" w:space="0"/>
              <w:bottom w:val="single" w:color="000000" w:sz="4" w:space="0"/>
              <w:right w:val="single" w:color="000000" w:sz="4" w:space="0"/>
            </w:tcBorders>
          </w:tcPr>
          <w:p w14:paraId="450CD19D">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若干</w:t>
            </w:r>
          </w:p>
        </w:tc>
        <w:tc>
          <w:tcPr>
            <w:tcW w:w="3234" w:type="dxa"/>
            <w:tcBorders>
              <w:top w:val="single" w:color="000000" w:sz="4" w:space="0"/>
              <w:left w:val="single" w:color="000000" w:sz="4" w:space="0"/>
              <w:bottom w:val="single" w:color="000000" w:sz="4" w:space="0"/>
              <w:right w:val="single" w:color="000000" w:sz="4" w:space="0"/>
            </w:tcBorders>
          </w:tcPr>
          <w:p w14:paraId="17D25166">
            <w:pPr>
              <w:adjustRightInd w:val="0"/>
              <w:snapToGrid w:val="0"/>
              <w:spacing w:line="360" w:lineRule="auto"/>
              <w:ind w:firstLine="440" w:firstLineChars="200"/>
              <w:rPr>
                <w:rFonts w:hint="eastAsia" w:ascii="微软雅黑" w:hAnsi="微软雅黑" w:eastAsia="微软雅黑" w:cs="微软雅黑"/>
                <w:sz w:val="22"/>
                <w:szCs w:val="28"/>
              </w:rPr>
            </w:pPr>
          </w:p>
        </w:tc>
      </w:tr>
      <w:tr w14:paraId="6CD1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067F829D">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3</w:t>
            </w:r>
          </w:p>
        </w:tc>
        <w:tc>
          <w:tcPr>
            <w:tcW w:w="3232" w:type="dxa"/>
            <w:tcBorders>
              <w:top w:val="single" w:color="000000" w:sz="4" w:space="0"/>
              <w:left w:val="single" w:color="000000" w:sz="4" w:space="0"/>
              <w:bottom w:val="single" w:color="000000" w:sz="4" w:space="0"/>
              <w:right w:val="single" w:color="000000" w:sz="4" w:space="0"/>
            </w:tcBorders>
          </w:tcPr>
          <w:p w14:paraId="64C27A81">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手术室</w:t>
            </w:r>
          </w:p>
        </w:tc>
        <w:tc>
          <w:tcPr>
            <w:tcW w:w="785" w:type="dxa"/>
            <w:tcBorders>
              <w:top w:val="single" w:color="000000" w:sz="4" w:space="0"/>
              <w:left w:val="single" w:color="000000" w:sz="4" w:space="0"/>
              <w:bottom w:val="single" w:color="000000" w:sz="4" w:space="0"/>
              <w:right w:val="single" w:color="000000" w:sz="4" w:space="0"/>
            </w:tcBorders>
          </w:tcPr>
          <w:p w14:paraId="13E28CEB">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p>
        </w:tc>
        <w:tc>
          <w:tcPr>
            <w:tcW w:w="3234" w:type="dxa"/>
            <w:tcBorders>
              <w:top w:val="single" w:color="000000" w:sz="4" w:space="0"/>
              <w:left w:val="single" w:color="000000" w:sz="4" w:space="0"/>
              <w:bottom w:val="single" w:color="000000" w:sz="4" w:space="0"/>
              <w:right w:val="single" w:color="000000" w:sz="4" w:space="0"/>
            </w:tcBorders>
          </w:tcPr>
          <w:p w14:paraId="7544D5FB">
            <w:pPr>
              <w:adjustRightInd w:val="0"/>
              <w:snapToGrid w:val="0"/>
              <w:spacing w:line="360" w:lineRule="auto"/>
              <w:ind w:firstLine="440" w:firstLineChars="200"/>
              <w:rPr>
                <w:rFonts w:hint="eastAsia" w:ascii="微软雅黑" w:hAnsi="微软雅黑" w:eastAsia="微软雅黑" w:cs="微软雅黑"/>
                <w:sz w:val="22"/>
                <w:szCs w:val="28"/>
              </w:rPr>
            </w:pPr>
          </w:p>
        </w:tc>
      </w:tr>
      <w:tr w14:paraId="5D83B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4C19702B">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4</w:t>
            </w:r>
          </w:p>
        </w:tc>
        <w:tc>
          <w:tcPr>
            <w:tcW w:w="3232" w:type="dxa"/>
            <w:tcBorders>
              <w:top w:val="single" w:color="000000" w:sz="4" w:space="0"/>
              <w:left w:val="single" w:color="000000" w:sz="4" w:space="0"/>
              <w:bottom w:val="single" w:color="000000" w:sz="4" w:space="0"/>
              <w:right w:val="single" w:color="000000" w:sz="4" w:space="0"/>
            </w:tcBorders>
          </w:tcPr>
          <w:p w14:paraId="06F0EEE0">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检验科</w:t>
            </w:r>
          </w:p>
        </w:tc>
        <w:tc>
          <w:tcPr>
            <w:tcW w:w="785" w:type="dxa"/>
            <w:tcBorders>
              <w:top w:val="single" w:color="000000" w:sz="4" w:space="0"/>
              <w:left w:val="single" w:color="000000" w:sz="4" w:space="0"/>
              <w:bottom w:val="single" w:color="000000" w:sz="4" w:space="0"/>
              <w:right w:val="single" w:color="000000" w:sz="4" w:space="0"/>
            </w:tcBorders>
          </w:tcPr>
          <w:p w14:paraId="6408C544">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p>
        </w:tc>
        <w:tc>
          <w:tcPr>
            <w:tcW w:w="3234" w:type="dxa"/>
            <w:tcBorders>
              <w:top w:val="single" w:color="000000" w:sz="4" w:space="0"/>
              <w:left w:val="single" w:color="000000" w:sz="4" w:space="0"/>
              <w:bottom w:val="single" w:color="000000" w:sz="4" w:space="0"/>
              <w:right w:val="single" w:color="000000" w:sz="4" w:space="0"/>
            </w:tcBorders>
          </w:tcPr>
          <w:p w14:paraId="3F849CE4">
            <w:pPr>
              <w:adjustRightInd w:val="0"/>
              <w:snapToGrid w:val="0"/>
              <w:spacing w:line="360" w:lineRule="auto"/>
              <w:ind w:firstLine="440" w:firstLineChars="200"/>
              <w:rPr>
                <w:rFonts w:hint="eastAsia" w:ascii="微软雅黑" w:hAnsi="微软雅黑" w:eastAsia="微软雅黑" w:cs="微软雅黑"/>
                <w:sz w:val="22"/>
                <w:szCs w:val="28"/>
              </w:rPr>
            </w:pPr>
          </w:p>
        </w:tc>
      </w:tr>
      <w:tr w14:paraId="58D3A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tcPr>
          <w:p w14:paraId="2070BE0B">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5</w:t>
            </w:r>
          </w:p>
        </w:tc>
        <w:tc>
          <w:tcPr>
            <w:tcW w:w="3232" w:type="dxa"/>
            <w:tcBorders>
              <w:top w:val="single" w:color="000000" w:sz="4" w:space="0"/>
              <w:left w:val="single" w:color="000000" w:sz="4" w:space="0"/>
              <w:bottom w:val="single" w:color="000000" w:sz="4" w:space="0"/>
              <w:right w:val="single" w:color="000000" w:sz="4" w:space="0"/>
            </w:tcBorders>
          </w:tcPr>
          <w:p w14:paraId="203780F8">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介入室</w:t>
            </w:r>
          </w:p>
        </w:tc>
        <w:tc>
          <w:tcPr>
            <w:tcW w:w="785" w:type="dxa"/>
            <w:tcBorders>
              <w:top w:val="single" w:color="000000" w:sz="4" w:space="0"/>
              <w:left w:val="single" w:color="000000" w:sz="4" w:space="0"/>
              <w:bottom w:val="single" w:color="000000" w:sz="4" w:space="0"/>
              <w:right w:val="single" w:color="000000" w:sz="4" w:space="0"/>
            </w:tcBorders>
          </w:tcPr>
          <w:p w14:paraId="0C5B5CD3">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p>
        </w:tc>
        <w:tc>
          <w:tcPr>
            <w:tcW w:w="3234" w:type="dxa"/>
            <w:tcBorders>
              <w:top w:val="single" w:color="000000" w:sz="4" w:space="0"/>
              <w:left w:val="single" w:color="000000" w:sz="4" w:space="0"/>
              <w:bottom w:val="single" w:color="000000" w:sz="4" w:space="0"/>
              <w:right w:val="single" w:color="000000" w:sz="4" w:space="0"/>
            </w:tcBorders>
          </w:tcPr>
          <w:p w14:paraId="2804BD02">
            <w:pPr>
              <w:adjustRightInd w:val="0"/>
              <w:snapToGrid w:val="0"/>
              <w:spacing w:line="360" w:lineRule="auto"/>
              <w:ind w:firstLine="440" w:firstLineChars="200"/>
              <w:rPr>
                <w:rFonts w:hint="eastAsia" w:ascii="微软雅黑" w:hAnsi="微软雅黑" w:eastAsia="微软雅黑" w:cs="微软雅黑"/>
                <w:sz w:val="22"/>
                <w:szCs w:val="28"/>
              </w:rPr>
            </w:pPr>
          </w:p>
        </w:tc>
      </w:tr>
      <w:tr w14:paraId="4BB22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4B6AFD6C">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6</w:t>
            </w:r>
          </w:p>
        </w:tc>
        <w:tc>
          <w:tcPr>
            <w:tcW w:w="3232" w:type="dxa"/>
            <w:tcBorders>
              <w:top w:val="single" w:color="000000" w:sz="4" w:space="0"/>
              <w:left w:val="single" w:color="000000" w:sz="4" w:space="0"/>
              <w:bottom w:val="single" w:color="000000" w:sz="4" w:space="0"/>
              <w:right w:val="single" w:color="000000" w:sz="4" w:space="0"/>
            </w:tcBorders>
          </w:tcPr>
          <w:p w14:paraId="62890734">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其它科室</w:t>
            </w:r>
          </w:p>
        </w:tc>
        <w:tc>
          <w:tcPr>
            <w:tcW w:w="785" w:type="dxa"/>
            <w:tcBorders>
              <w:top w:val="single" w:color="000000" w:sz="4" w:space="0"/>
              <w:left w:val="single" w:color="000000" w:sz="4" w:space="0"/>
              <w:bottom w:val="single" w:color="000000" w:sz="4" w:space="0"/>
              <w:right w:val="single" w:color="000000" w:sz="4" w:space="0"/>
            </w:tcBorders>
          </w:tcPr>
          <w:p w14:paraId="3DE6301B">
            <w:pPr>
              <w:adjustRightInd w:val="0"/>
              <w:snapToGrid w:val="0"/>
              <w:spacing w:line="360" w:lineRule="auto"/>
              <w:ind w:firstLine="440" w:firstLineChars="200"/>
              <w:rPr>
                <w:rFonts w:hint="eastAsia" w:ascii="微软雅黑" w:hAnsi="微软雅黑" w:eastAsia="微软雅黑" w:cs="微软雅黑"/>
                <w:sz w:val="22"/>
                <w:szCs w:val="28"/>
              </w:rPr>
            </w:pPr>
          </w:p>
        </w:tc>
        <w:tc>
          <w:tcPr>
            <w:tcW w:w="3234" w:type="dxa"/>
            <w:tcBorders>
              <w:top w:val="single" w:color="000000" w:sz="4" w:space="0"/>
              <w:left w:val="single" w:color="000000" w:sz="4" w:space="0"/>
              <w:bottom w:val="single" w:color="000000" w:sz="4" w:space="0"/>
              <w:right w:val="single" w:color="000000" w:sz="4" w:space="0"/>
            </w:tcBorders>
          </w:tcPr>
          <w:p w14:paraId="42D049F5">
            <w:pPr>
              <w:adjustRightInd w:val="0"/>
              <w:snapToGrid w:val="0"/>
              <w:spacing w:line="360" w:lineRule="auto"/>
              <w:ind w:firstLine="440" w:firstLineChars="200"/>
              <w:rPr>
                <w:rFonts w:hint="eastAsia" w:ascii="微软雅黑" w:hAnsi="微软雅黑" w:eastAsia="微软雅黑" w:cs="微软雅黑"/>
                <w:sz w:val="22"/>
                <w:szCs w:val="28"/>
              </w:rPr>
            </w:pPr>
          </w:p>
        </w:tc>
      </w:tr>
    </w:tbl>
    <w:p w14:paraId="0C9CC7A9">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4.3.建设所需软硬件基础配置及人员要求</w:t>
      </w:r>
    </w:p>
    <w:tbl>
      <w:tblPr>
        <w:tblStyle w:val="12"/>
        <w:tblW w:w="7965"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695"/>
        <w:gridCol w:w="1419"/>
        <w:gridCol w:w="3142"/>
      </w:tblGrid>
      <w:tr w14:paraId="75AA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75A46247">
            <w:pPr>
              <w:adjustRightInd w:val="0"/>
              <w:snapToGrid w:val="0"/>
              <w:spacing w:line="360" w:lineRule="auto"/>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序号</w:t>
            </w:r>
          </w:p>
        </w:tc>
        <w:tc>
          <w:tcPr>
            <w:tcW w:w="2693" w:type="dxa"/>
            <w:tcBorders>
              <w:top w:val="single" w:color="000000" w:sz="4" w:space="0"/>
              <w:left w:val="single" w:color="000000" w:sz="4" w:space="0"/>
              <w:bottom w:val="single" w:color="000000" w:sz="4" w:space="0"/>
              <w:right w:val="single" w:color="000000" w:sz="4" w:space="0"/>
            </w:tcBorders>
          </w:tcPr>
          <w:p w14:paraId="3E5B2D5D">
            <w:pPr>
              <w:adjustRightInd w:val="0"/>
              <w:snapToGrid w:val="0"/>
              <w:spacing w:line="360" w:lineRule="auto"/>
              <w:ind w:firstLine="440" w:firstLineChars="200"/>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名称</w:t>
            </w:r>
          </w:p>
        </w:tc>
        <w:tc>
          <w:tcPr>
            <w:tcW w:w="1418" w:type="dxa"/>
            <w:tcBorders>
              <w:top w:val="single" w:color="000000" w:sz="4" w:space="0"/>
              <w:left w:val="single" w:color="000000" w:sz="4" w:space="0"/>
              <w:bottom w:val="single" w:color="000000" w:sz="4" w:space="0"/>
              <w:right w:val="single" w:color="000000" w:sz="4" w:space="0"/>
            </w:tcBorders>
          </w:tcPr>
          <w:p w14:paraId="4AE80E18">
            <w:pPr>
              <w:adjustRightInd w:val="0"/>
              <w:snapToGrid w:val="0"/>
              <w:spacing w:line="360" w:lineRule="auto"/>
              <w:ind w:firstLine="440" w:firstLineChars="200"/>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数量</w:t>
            </w:r>
          </w:p>
        </w:tc>
        <w:tc>
          <w:tcPr>
            <w:tcW w:w="3140" w:type="dxa"/>
            <w:tcBorders>
              <w:top w:val="single" w:color="000000" w:sz="4" w:space="0"/>
              <w:left w:val="single" w:color="000000" w:sz="4" w:space="0"/>
              <w:bottom w:val="single" w:color="000000" w:sz="4" w:space="0"/>
              <w:right w:val="single" w:color="000000" w:sz="4" w:space="0"/>
            </w:tcBorders>
          </w:tcPr>
          <w:p w14:paraId="4371893B">
            <w:pPr>
              <w:adjustRightInd w:val="0"/>
              <w:snapToGrid w:val="0"/>
              <w:spacing w:line="360" w:lineRule="auto"/>
              <w:ind w:firstLine="440" w:firstLineChars="200"/>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说明</w:t>
            </w:r>
          </w:p>
        </w:tc>
      </w:tr>
      <w:tr w14:paraId="4AB34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709" w:type="dxa"/>
            <w:vMerge w:val="restart"/>
            <w:tcBorders>
              <w:top w:val="single" w:color="000000" w:sz="4" w:space="0"/>
              <w:left w:val="single" w:color="000000" w:sz="4" w:space="0"/>
              <w:bottom w:val="single" w:color="000000" w:sz="4" w:space="0"/>
              <w:right w:val="single" w:color="000000" w:sz="4" w:space="0"/>
            </w:tcBorders>
          </w:tcPr>
          <w:p w14:paraId="29F5112B">
            <w:pPr>
              <w:adjustRightInd w:val="0"/>
              <w:snapToGrid w:val="0"/>
              <w:spacing w:line="360" w:lineRule="auto"/>
              <w:ind w:firstLine="440" w:firstLineChars="200"/>
              <w:rPr>
                <w:rFonts w:hint="eastAsia" w:ascii="微软雅黑" w:hAnsi="微软雅黑" w:eastAsia="微软雅黑" w:cs="微软雅黑"/>
                <w:sz w:val="22"/>
                <w:szCs w:val="28"/>
              </w:rPr>
            </w:pPr>
          </w:p>
          <w:p w14:paraId="39A0705E">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p>
        </w:tc>
        <w:tc>
          <w:tcPr>
            <w:tcW w:w="2693" w:type="dxa"/>
            <w:tcBorders>
              <w:top w:val="single" w:color="000000" w:sz="4" w:space="0"/>
              <w:left w:val="single" w:color="000000" w:sz="4" w:space="0"/>
              <w:bottom w:val="single" w:color="000000" w:sz="4" w:space="0"/>
              <w:right w:val="single" w:color="000000" w:sz="4" w:space="0"/>
            </w:tcBorders>
          </w:tcPr>
          <w:p w14:paraId="5B03A681">
            <w:pPr>
              <w:adjustRightInd w:val="0"/>
              <w:snapToGrid w:val="0"/>
              <w:spacing w:line="360" w:lineRule="auto"/>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供应商管理系统</w:t>
            </w:r>
          </w:p>
        </w:tc>
        <w:tc>
          <w:tcPr>
            <w:tcW w:w="1418" w:type="dxa"/>
            <w:tcBorders>
              <w:top w:val="single" w:color="000000" w:sz="4" w:space="0"/>
              <w:left w:val="single" w:color="000000" w:sz="4" w:space="0"/>
              <w:bottom w:val="single" w:color="000000" w:sz="4" w:space="0"/>
              <w:right w:val="single" w:color="000000" w:sz="4" w:space="0"/>
            </w:tcBorders>
          </w:tcPr>
          <w:p w14:paraId="36179355">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1套</w:t>
            </w:r>
          </w:p>
        </w:tc>
        <w:tc>
          <w:tcPr>
            <w:tcW w:w="3140" w:type="dxa"/>
            <w:tcBorders>
              <w:top w:val="single" w:color="000000" w:sz="4" w:space="0"/>
              <w:left w:val="single" w:color="000000" w:sz="4" w:space="0"/>
              <w:bottom w:val="single" w:color="000000" w:sz="4" w:space="0"/>
              <w:right w:val="single" w:color="000000" w:sz="4" w:space="0"/>
            </w:tcBorders>
          </w:tcPr>
          <w:p w14:paraId="417BF002">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具体技术要求见后</w:t>
            </w:r>
          </w:p>
        </w:tc>
      </w:tr>
      <w:tr w14:paraId="43D6F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A71E85A">
            <w:pPr>
              <w:widowControl/>
              <w:jc w:val="left"/>
              <w:rPr>
                <w:rFonts w:hint="eastAsia" w:ascii="微软雅黑" w:hAnsi="微软雅黑" w:eastAsia="微软雅黑" w:cs="微软雅黑"/>
                <w:sz w:val="22"/>
                <w:szCs w:val="28"/>
              </w:rPr>
            </w:pPr>
          </w:p>
        </w:tc>
        <w:tc>
          <w:tcPr>
            <w:tcW w:w="2693" w:type="dxa"/>
            <w:tcBorders>
              <w:top w:val="single" w:color="000000" w:sz="4" w:space="0"/>
              <w:left w:val="single" w:color="000000" w:sz="4" w:space="0"/>
              <w:bottom w:val="single" w:color="000000" w:sz="4" w:space="0"/>
              <w:right w:val="single" w:color="000000" w:sz="4" w:space="0"/>
            </w:tcBorders>
          </w:tcPr>
          <w:p w14:paraId="5EEB9B16">
            <w:pPr>
              <w:adjustRightInd w:val="0"/>
              <w:snapToGrid w:val="0"/>
              <w:spacing w:line="360" w:lineRule="auto"/>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SPD院内物流管理系统</w:t>
            </w:r>
          </w:p>
        </w:tc>
        <w:tc>
          <w:tcPr>
            <w:tcW w:w="1418" w:type="dxa"/>
            <w:tcBorders>
              <w:top w:val="single" w:color="000000" w:sz="4" w:space="0"/>
              <w:left w:val="single" w:color="000000" w:sz="4" w:space="0"/>
              <w:bottom w:val="single" w:color="000000" w:sz="4" w:space="0"/>
              <w:right w:val="single" w:color="000000" w:sz="4" w:space="0"/>
            </w:tcBorders>
          </w:tcPr>
          <w:p w14:paraId="0FA98565">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1套</w:t>
            </w:r>
          </w:p>
        </w:tc>
        <w:tc>
          <w:tcPr>
            <w:tcW w:w="3140" w:type="dxa"/>
            <w:tcBorders>
              <w:top w:val="single" w:color="000000" w:sz="4" w:space="0"/>
              <w:left w:val="single" w:color="000000" w:sz="4" w:space="0"/>
              <w:bottom w:val="single" w:color="000000" w:sz="4" w:space="0"/>
              <w:right w:val="single" w:color="000000" w:sz="4" w:space="0"/>
            </w:tcBorders>
          </w:tcPr>
          <w:p w14:paraId="756F2477">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具体技术要求见后</w:t>
            </w:r>
          </w:p>
        </w:tc>
      </w:tr>
      <w:tr w14:paraId="4F2E7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283328B9">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2</w:t>
            </w:r>
          </w:p>
        </w:tc>
        <w:tc>
          <w:tcPr>
            <w:tcW w:w="2693" w:type="dxa"/>
            <w:tcBorders>
              <w:top w:val="single" w:color="000000" w:sz="4" w:space="0"/>
              <w:left w:val="single" w:color="000000" w:sz="4" w:space="0"/>
              <w:bottom w:val="single" w:color="000000" w:sz="4" w:space="0"/>
              <w:right w:val="single" w:color="000000" w:sz="4" w:space="0"/>
            </w:tcBorders>
          </w:tcPr>
          <w:p w14:paraId="4DAE0FE2">
            <w:pPr>
              <w:adjustRightInd w:val="0"/>
              <w:snapToGrid w:val="0"/>
              <w:spacing w:line="360" w:lineRule="auto"/>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高值耗材智能柜</w:t>
            </w:r>
          </w:p>
        </w:tc>
        <w:tc>
          <w:tcPr>
            <w:tcW w:w="1418" w:type="dxa"/>
            <w:tcBorders>
              <w:top w:val="single" w:color="000000" w:sz="4" w:space="0"/>
              <w:left w:val="single" w:color="000000" w:sz="4" w:space="0"/>
              <w:bottom w:val="single" w:color="000000" w:sz="4" w:space="0"/>
              <w:right w:val="single" w:color="000000" w:sz="4" w:space="0"/>
            </w:tcBorders>
          </w:tcPr>
          <w:p w14:paraId="29A4204D">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一批</w:t>
            </w:r>
          </w:p>
        </w:tc>
        <w:tc>
          <w:tcPr>
            <w:tcW w:w="3140" w:type="dxa"/>
            <w:tcBorders>
              <w:top w:val="single" w:color="000000" w:sz="4" w:space="0"/>
              <w:left w:val="single" w:color="000000" w:sz="4" w:space="0"/>
              <w:bottom w:val="single" w:color="000000" w:sz="4" w:space="0"/>
              <w:right w:val="single" w:color="000000" w:sz="4" w:space="0"/>
            </w:tcBorders>
          </w:tcPr>
          <w:p w14:paraId="18780397">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所投入的数量以满足具体需求为准，具体技术要求见后</w:t>
            </w:r>
          </w:p>
        </w:tc>
      </w:tr>
      <w:tr w14:paraId="5C762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709" w:type="dxa"/>
            <w:tcBorders>
              <w:top w:val="single" w:color="000000" w:sz="4" w:space="0"/>
              <w:left w:val="single" w:color="000000" w:sz="4" w:space="0"/>
              <w:bottom w:val="single" w:color="000000" w:sz="4" w:space="0"/>
              <w:right w:val="single" w:color="000000" w:sz="4" w:space="0"/>
            </w:tcBorders>
          </w:tcPr>
          <w:p w14:paraId="443CDD84">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3</w:t>
            </w:r>
          </w:p>
        </w:tc>
        <w:tc>
          <w:tcPr>
            <w:tcW w:w="2693" w:type="dxa"/>
            <w:tcBorders>
              <w:top w:val="single" w:color="000000" w:sz="4" w:space="0"/>
              <w:left w:val="single" w:color="000000" w:sz="4" w:space="0"/>
              <w:bottom w:val="single" w:color="000000" w:sz="4" w:space="0"/>
              <w:right w:val="single" w:color="000000" w:sz="4" w:space="0"/>
            </w:tcBorders>
          </w:tcPr>
          <w:p w14:paraId="6E0ADE0D">
            <w:pPr>
              <w:adjustRightInd w:val="0"/>
              <w:snapToGrid w:val="0"/>
              <w:spacing w:line="360" w:lineRule="auto"/>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项目运营人员</w:t>
            </w:r>
          </w:p>
        </w:tc>
        <w:tc>
          <w:tcPr>
            <w:tcW w:w="1418" w:type="dxa"/>
            <w:tcBorders>
              <w:top w:val="single" w:color="000000" w:sz="4" w:space="0"/>
              <w:left w:val="single" w:color="000000" w:sz="4" w:space="0"/>
              <w:bottom w:val="single" w:color="000000" w:sz="4" w:space="0"/>
              <w:right w:val="single" w:color="000000" w:sz="4" w:space="0"/>
            </w:tcBorders>
          </w:tcPr>
          <w:p w14:paraId="31F59568">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一批</w:t>
            </w:r>
          </w:p>
        </w:tc>
        <w:tc>
          <w:tcPr>
            <w:tcW w:w="3140" w:type="dxa"/>
            <w:tcBorders>
              <w:top w:val="single" w:color="000000" w:sz="4" w:space="0"/>
              <w:left w:val="single" w:color="000000" w:sz="4" w:space="0"/>
              <w:bottom w:val="single" w:color="000000" w:sz="4" w:space="0"/>
              <w:right w:val="single" w:color="000000" w:sz="4" w:space="0"/>
            </w:tcBorders>
          </w:tcPr>
          <w:p w14:paraId="357173D9">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所投入的数量以满足具体需求为准，具体技术要求见后</w:t>
            </w:r>
          </w:p>
        </w:tc>
      </w:tr>
      <w:tr w14:paraId="60E61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3BC6A6B3">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4</w:t>
            </w:r>
          </w:p>
        </w:tc>
        <w:tc>
          <w:tcPr>
            <w:tcW w:w="2693" w:type="dxa"/>
            <w:tcBorders>
              <w:top w:val="single" w:color="000000" w:sz="4" w:space="0"/>
              <w:left w:val="single" w:color="000000" w:sz="4" w:space="0"/>
              <w:bottom w:val="single" w:color="000000" w:sz="4" w:space="0"/>
              <w:right w:val="single" w:color="000000" w:sz="4" w:space="0"/>
            </w:tcBorders>
          </w:tcPr>
          <w:p w14:paraId="4EF5F8D8">
            <w:pPr>
              <w:adjustRightInd w:val="0"/>
              <w:snapToGrid w:val="0"/>
              <w:spacing w:line="360" w:lineRule="auto"/>
              <w:jc w:val="center"/>
              <w:rPr>
                <w:rFonts w:hint="eastAsia" w:ascii="微软雅黑" w:hAnsi="微软雅黑" w:eastAsia="微软雅黑" w:cs="微软雅黑"/>
                <w:sz w:val="22"/>
                <w:szCs w:val="28"/>
              </w:rPr>
            </w:pPr>
            <w:r>
              <w:rPr>
                <w:rFonts w:hint="eastAsia" w:ascii="微软雅黑" w:hAnsi="微软雅黑" w:eastAsia="微软雅黑" w:cs="微软雅黑"/>
                <w:sz w:val="22"/>
                <w:szCs w:val="28"/>
              </w:rPr>
              <w:t>其他基础设备</w:t>
            </w:r>
          </w:p>
        </w:tc>
        <w:tc>
          <w:tcPr>
            <w:tcW w:w="1418" w:type="dxa"/>
            <w:tcBorders>
              <w:top w:val="single" w:color="000000" w:sz="4" w:space="0"/>
              <w:left w:val="single" w:color="000000" w:sz="4" w:space="0"/>
              <w:bottom w:val="single" w:color="000000" w:sz="4" w:space="0"/>
              <w:right w:val="single" w:color="000000" w:sz="4" w:space="0"/>
            </w:tcBorders>
          </w:tcPr>
          <w:p w14:paraId="4D584BD0">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一批</w:t>
            </w:r>
          </w:p>
        </w:tc>
        <w:tc>
          <w:tcPr>
            <w:tcW w:w="3140" w:type="dxa"/>
            <w:tcBorders>
              <w:top w:val="single" w:color="000000" w:sz="4" w:space="0"/>
              <w:left w:val="single" w:color="000000" w:sz="4" w:space="0"/>
              <w:bottom w:val="single" w:color="000000" w:sz="4" w:space="0"/>
              <w:right w:val="single" w:color="000000" w:sz="4" w:space="0"/>
            </w:tcBorders>
          </w:tcPr>
          <w:p w14:paraId="4F614021">
            <w:pPr>
              <w:adjustRightInd w:val="0"/>
              <w:snapToGrid w:val="0"/>
              <w:spacing w:line="360" w:lineRule="auto"/>
              <w:ind w:firstLine="440" w:firstLineChars="200"/>
              <w:rPr>
                <w:rFonts w:hint="eastAsia" w:ascii="微软雅黑" w:hAnsi="微软雅黑" w:eastAsia="微软雅黑" w:cs="微软雅黑"/>
                <w:sz w:val="22"/>
                <w:szCs w:val="28"/>
              </w:rPr>
            </w:pPr>
          </w:p>
        </w:tc>
      </w:tr>
    </w:tbl>
    <w:p w14:paraId="76DEB8F9">
      <w:pPr>
        <w:adjustRightInd w:val="0"/>
        <w:snapToGrid w:val="0"/>
        <w:spacing w:line="24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备注：项目所需的物流基础设备（院内配送车、推车、整体货架、周转箱、手持PDA等）、办公用品及耗材（RFID打印机、超高频RFID标签、电脑等）按照实际需求提供。</w:t>
      </w:r>
    </w:p>
    <w:p w14:paraId="596B2E0E">
      <w:pPr>
        <w:adjustRightInd w:val="0"/>
        <w:snapToGrid w:val="0"/>
        <w:spacing w:line="360" w:lineRule="auto"/>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五、技术参数要求</w:t>
      </w:r>
    </w:p>
    <w:p w14:paraId="7FD2A3D4">
      <w:pPr>
        <w:adjustRightInd w:val="0"/>
        <w:snapToGrid w:val="0"/>
        <w:spacing w:line="360" w:lineRule="auto"/>
        <w:rPr>
          <w:rFonts w:hint="eastAsia" w:ascii="微软雅黑" w:hAnsi="微软雅黑" w:eastAsia="微软雅黑" w:cs="微软雅黑"/>
          <w:b/>
          <w:bCs/>
          <w:sz w:val="22"/>
          <w:szCs w:val="28"/>
        </w:rPr>
      </w:pPr>
      <w:bookmarkStart w:id="17" w:name="_Toc254970549"/>
      <w:bookmarkStart w:id="18" w:name="_Toc466475726"/>
      <w:bookmarkStart w:id="19" w:name="_Toc254970690"/>
      <w:r>
        <w:rPr>
          <w:rFonts w:hint="eastAsia" w:ascii="微软雅黑" w:hAnsi="微软雅黑" w:eastAsia="微软雅黑" w:cs="微软雅黑"/>
          <w:b/>
          <w:bCs/>
          <w:sz w:val="22"/>
          <w:szCs w:val="28"/>
        </w:rPr>
        <w:t>5.1院内智慧物流服务平台软件的功能及技术要求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3865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EE3E690">
            <w:pPr>
              <w:rPr>
                <w:rFonts w:hint="eastAsia" w:ascii="微软雅黑" w:hAnsi="微软雅黑" w:eastAsia="微软雅黑" w:cs="微软雅黑"/>
              </w:rPr>
            </w:pPr>
            <w:bookmarkStart w:id="20" w:name="_Hlk112247272"/>
          </w:p>
          <w:p w14:paraId="1811078B">
            <w:pPr>
              <w:rPr>
                <w:rFonts w:hint="eastAsia" w:ascii="微软雅黑" w:hAnsi="微软雅黑" w:eastAsia="微软雅黑" w:cs="微软雅黑"/>
              </w:rPr>
            </w:pPr>
          </w:p>
          <w:p w14:paraId="605B222E">
            <w:pPr>
              <w:rPr>
                <w:rFonts w:hint="eastAsia" w:ascii="微软雅黑" w:hAnsi="微软雅黑" w:eastAsia="微软雅黑" w:cs="微软雅黑"/>
              </w:rPr>
            </w:pPr>
          </w:p>
          <w:p w14:paraId="233B31E1">
            <w:pPr>
              <w:rPr>
                <w:rFonts w:hint="eastAsia" w:ascii="微软雅黑" w:hAnsi="微软雅黑" w:eastAsia="微软雅黑" w:cs="微软雅黑"/>
              </w:rPr>
            </w:pPr>
          </w:p>
          <w:p w14:paraId="30F53F2F">
            <w:pPr>
              <w:rPr>
                <w:rFonts w:hint="eastAsia" w:ascii="微软雅黑" w:hAnsi="微软雅黑" w:eastAsia="微软雅黑" w:cs="微软雅黑"/>
              </w:rPr>
            </w:pPr>
          </w:p>
          <w:p w14:paraId="4B85BBA0">
            <w:pPr>
              <w:rPr>
                <w:rFonts w:hint="eastAsia" w:ascii="微软雅黑" w:hAnsi="微软雅黑" w:eastAsia="微软雅黑" w:cs="微软雅黑"/>
                <w:sz w:val="22"/>
                <w:szCs w:val="28"/>
              </w:rPr>
            </w:pPr>
          </w:p>
          <w:p w14:paraId="647BC2E3">
            <w:pPr>
              <w:rPr>
                <w:rFonts w:hint="eastAsia" w:ascii="微软雅黑" w:hAnsi="微软雅黑" w:eastAsia="微软雅黑" w:cs="微软雅黑"/>
              </w:rPr>
            </w:pPr>
            <w:r>
              <w:rPr>
                <w:rFonts w:hint="eastAsia" w:ascii="微软雅黑" w:hAnsi="微软雅黑" w:eastAsia="微软雅黑" w:cs="微软雅黑"/>
                <w:sz w:val="22"/>
                <w:szCs w:val="28"/>
              </w:rPr>
              <w:t>供应链管理系统功能要求</w:t>
            </w:r>
          </w:p>
        </w:tc>
        <w:tc>
          <w:tcPr>
            <w:tcW w:w="7167" w:type="dxa"/>
          </w:tcPr>
          <w:p w14:paraId="7AF06F87">
            <w:pPr>
              <w:adjustRightInd w:val="0"/>
              <w:snapToGrid w:val="0"/>
              <w:spacing w:line="360" w:lineRule="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1.医院SPD供应链管理系统（供应商端）</w:t>
            </w:r>
          </w:p>
          <w:p w14:paraId="74F391EA">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实现医用耗材采购计划的自动推送和供货商配送单制作，通过标准化接口向SPD供应链平台（医院端）等提供标准信息数据，保证院外供应商数据及院内业务信息数据统一规范标准化，达到院内外信息互通统一管理。</w:t>
            </w:r>
          </w:p>
          <w:p w14:paraId="3F31B239">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满足厂商、供应商、医院等不同角色的功能权限与数据权限。</w:t>
            </w:r>
          </w:p>
          <w:p w14:paraId="708F040E">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统一编码和供应关系对照，包括供应商对照、医院商品对照、供应商商品对照等目录管理，实现通过平台统一管理。</w:t>
            </w:r>
          </w:p>
          <w:p w14:paraId="399B74A3">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订单管理，供应商可查看医院上传的采购订单，支持采购单直接生成供货配送单，支持部分配送的采购单继续生成供货配送单，支持供货单添加多批号信息。</w:t>
            </w:r>
          </w:p>
          <w:p w14:paraId="1BD66C41">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配送单管理，可根据SPD供应链平台（医院端）回传的验收结果更新供货记录状态和实收数。</w:t>
            </w:r>
          </w:p>
          <w:p w14:paraId="0C03C7B1">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可以实时同步医院中心库的手工入库配送单。</w:t>
            </w:r>
          </w:p>
          <w:p w14:paraId="08108F1F">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证照管理，支持资质证照全面电子化管理，对供应商证照、商品证照、厂商证照、代理商证照、授权书、授权链条等进行线上化管理。</w:t>
            </w:r>
          </w:p>
          <w:p w14:paraId="7E4F461D">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可以根据器械分类设置不同证照的完整度要求。</w:t>
            </w:r>
          </w:p>
          <w:p w14:paraId="4241CD08">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证照管理，每个授权环节都有独立的证照管理，具备证件近效期提醒、到效期报警，支持证照审批结果实时查看。</w:t>
            </w:r>
          </w:p>
          <w:p w14:paraId="7163878A">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供货目录和证照审核界面可以一个界面显示所有证照信息和缩略图片。</w:t>
            </w:r>
          </w:p>
          <w:p w14:paraId="1253BEF5">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支持对接国家耗材编码库。</w:t>
            </w:r>
          </w:p>
          <w:p w14:paraId="31D1805E">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支持短信通知供应商订单信息。</w:t>
            </w:r>
          </w:p>
          <w:p w14:paraId="4D3654F0">
            <w:pPr>
              <w:pStyle w:val="20"/>
              <w:numPr>
                <w:ilvl w:val="0"/>
                <w:numId w:val="2"/>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支持供应商查询在院寄售库存。</w:t>
            </w:r>
          </w:p>
        </w:tc>
      </w:tr>
      <w:tr w14:paraId="4EA4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14:paraId="23B7F0FE">
            <w:pPr>
              <w:rPr>
                <w:rFonts w:hint="eastAsia" w:ascii="微软雅黑" w:hAnsi="微软雅黑" w:eastAsia="微软雅黑" w:cs="微软雅黑"/>
              </w:rPr>
            </w:pPr>
          </w:p>
          <w:p w14:paraId="62A4FA57">
            <w:pPr>
              <w:rPr>
                <w:rFonts w:hint="eastAsia" w:ascii="微软雅黑" w:hAnsi="微软雅黑" w:eastAsia="微软雅黑" w:cs="微软雅黑"/>
              </w:rPr>
            </w:pPr>
          </w:p>
          <w:p w14:paraId="6E24D30A">
            <w:pPr>
              <w:rPr>
                <w:rFonts w:hint="eastAsia" w:ascii="微软雅黑" w:hAnsi="微软雅黑" w:eastAsia="微软雅黑" w:cs="微软雅黑"/>
              </w:rPr>
            </w:pPr>
          </w:p>
          <w:p w14:paraId="15C11501">
            <w:pPr>
              <w:rPr>
                <w:rFonts w:hint="eastAsia" w:ascii="微软雅黑" w:hAnsi="微软雅黑" w:eastAsia="微软雅黑" w:cs="微软雅黑"/>
              </w:rPr>
            </w:pPr>
          </w:p>
          <w:p w14:paraId="2B4F9045">
            <w:pPr>
              <w:rPr>
                <w:rFonts w:hint="eastAsia" w:ascii="微软雅黑" w:hAnsi="微软雅黑" w:eastAsia="微软雅黑" w:cs="微软雅黑"/>
              </w:rPr>
            </w:pPr>
          </w:p>
          <w:p w14:paraId="265E76CB">
            <w:pPr>
              <w:rPr>
                <w:rFonts w:hint="eastAsia" w:ascii="微软雅黑" w:hAnsi="微软雅黑" w:eastAsia="微软雅黑" w:cs="微软雅黑"/>
              </w:rPr>
            </w:pPr>
          </w:p>
          <w:p w14:paraId="1100076A">
            <w:pPr>
              <w:rPr>
                <w:rFonts w:hint="eastAsia" w:ascii="微软雅黑" w:hAnsi="微软雅黑" w:eastAsia="微软雅黑" w:cs="微软雅黑"/>
              </w:rPr>
            </w:pPr>
          </w:p>
          <w:p w14:paraId="492933CA">
            <w:pPr>
              <w:rPr>
                <w:rFonts w:hint="eastAsia" w:ascii="微软雅黑" w:hAnsi="微软雅黑" w:eastAsia="微软雅黑" w:cs="微软雅黑"/>
              </w:rPr>
            </w:pPr>
          </w:p>
          <w:p w14:paraId="4CB4B4C2">
            <w:pPr>
              <w:rPr>
                <w:rFonts w:hint="eastAsia" w:ascii="微软雅黑" w:hAnsi="微软雅黑" w:eastAsia="微软雅黑" w:cs="微软雅黑"/>
              </w:rPr>
            </w:pPr>
          </w:p>
          <w:p w14:paraId="4B87514A">
            <w:pPr>
              <w:rPr>
                <w:rFonts w:hint="eastAsia" w:ascii="微软雅黑" w:hAnsi="微软雅黑" w:eastAsia="微软雅黑" w:cs="微软雅黑"/>
              </w:rPr>
            </w:pPr>
          </w:p>
          <w:p w14:paraId="2146636B">
            <w:pPr>
              <w:rPr>
                <w:rFonts w:hint="eastAsia" w:ascii="微软雅黑" w:hAnsi="微软雅黑" w:eastAsia="微软雅黑" w:cs="微软雅黑"/>
              </w:rPr>
            </w:pPr>
          </w:p>
          <w:p w14:paraId="2460CA0D">
            <w:pPr>
              <w:rPr>
                <w:rFonts w:hint="eastAsia" w:ascii="微软雅黑" w:hAnsi="微软雅黑" w:eastAsia="微软雅黑" w:cs="微软雅黑"/>
              </w:rPr>
            </w:pPr>
          </w:p>
          <w:p w14:paraId="303427D2">
            <w:pPr>
              <w:rPr>
                <w:rFonts w:hint="eastAsia" w:ascii="微软雅黑" w:hAnsi="微软雅黑" w:eastAsia="微软雅黑" w:cs="微软雅黑"/>
              </w:rPr>
            </w:pPr>
          </w:p>
          <w:p w14:paraId="5BE8679F">
            <w:pPr>
              <w:rPr>
                <w:rFonts w:hint="eastAsia" w:ascii="微软雅黑" w:hAnsi="微软雅黑" w:eastAsia="微软雅黑" w:cs="微软雅黑"/>
              </w:rPr>
            </w:pPr>
          </w:p>
          <w:p w14:paraId="7DDC31C6">
            <w:pPr>
              <w:rPr>
                <w:rFonts w:hint="eastAsia" w:ascii="微软雅黑" w:hAnsi="微软雅黑" w:eastAsia="微软雅黑" w:cs="微软雅黑"/>
              </w:rPr>
            </w:pPr>
          </w:p>
          <w:p w14:paraId="036E722B">
            <w:pPr>
              <w:rPr>
                <w:rFonts w:hint="eastAsia" w:ascii="微软雅黑" w:hAnsi="微软雅黑" w:eastAsia="微软雅黑" w:cs="微软雅黑"/>
              </w:rPr>
            </w:pPr>
          </w:p>
          <w:p w14:paraId="3F1E8B33">
            <w:pPr>
              <w:rPr>
                <w:rFonts w:hint="eastAsia" w:ascii="微软雅黑" w:hAnsi="微软雅黑" w:eastAsia="微软雅黑" w:cs="微软雅黑"/>
              </w:rPr>
            </w:pPr>
          </w:p>
          <w:p w14:paraId="11CF0A7B">
            <w:pPr>
              <w:adjustRightInd w:val="0"/>
              <w:snapToGrid w:val="0"/>
              <w:spacing w:line="360" w:lineRule="auto"/>
              <w:ind w:firstLine="440" w:firstLineChars="200"/>
              <w:rPr>
                <w:rFonts w:hint="eastAsia" w:ascii="微软雅黑" w:hAnsi="微软雅黑" w:eastAsia="微软雅黑" w:cs="微软雅黑"/>
                <w:sz w:val="22"/>
                <w:szCs w:val="28"/>
              </w:rPr>
            </w:pPr>
          </w:p>
          <w:p w14:paraId="4ED1DA30">
            <w:pPr>
              <w:adjustRightInd w:val="0"/>
              <w:snapToGrid w:val="0"/>
              <w:spacing w:line="360" w:lineRule="auto"/>
              <w:ind w:firstLine="440" w:firstLineChars="200"/>
              <w:rPr>
                <w:rFonts w:hint="eastAsia" w:ascii="微软雅黑" w:hAnsi="微软雅黑" w:eastAsia="微软雅黑" w:cs="微软雅黑"/>
                <w:sz w:val="22"/>
                <w:szCs w:val="28"/>
              </w:rPr>
            </w:pPr>
          </w:p>
          <w:p w14:paraId="63AC448B">
            <w:pPr>
              <w:adjustRightInd w:val="0"/>
              <w:snapToGrid w:val="0"/>
              <w:spacing w:line="360" w:lineRule="auto"/>
              <w:ind w:firstLine="440" w:firstLineChars="200"/>
              <w:rPr>
                <w:rFonts w:hint="eastAsia" w:ascii="微软雅黑" w:hAnsi="微软雅黑" w:eastAsia="微软雅黑" w:cs="微软雅黑"/>
                <w:sz w:val="22"/>
                <w:szCs w:val="28"/>
              </w:rPr>
            </w:pPr>
          </w:p>
          <w:p w14:paraId="62CE71EB">
            <w:pPr>
              <w:adjustRightInd w:val="0"/>
              <w:snapToGrid w:val="0"/>
              <w:spacing w:line="360" w:lineRule="auto"/>
              <w:ind w:firstLine="440" w:firstLineChars="200"/>
              <w:rPr>
                <w:rFonts w:hint="eastAsia" w:ascii="微软雅黑" w:hAnsi="微软雅黑" w:eastAsia="微软雅黑" w:cs="微软雅黑"/>
                <w:sz w:val="22"/>
                <w:szCs w:val="28"/>
              </w:rPr>
            </w:pPr>
          </w:p>
          <w:p w14:paraId="24F53404">
            <w:pPr>
              <w:adjustRightInd w:val="0"/>
              <w:snapToGrid w:val="0"/>
              <w:spacing w:line="360" w:lineRule="auto"/>
              <w:ind w:firstLine="440" w:firstLineChars="200"/>
              <w:rPr>
                <w:rFonts w:hint="eastAsia" w:ascii="微软雅黑" w:hAnsi="微软雅黑" w:eastAsia="微软雅黑" w:cs="微软雅黑"/>
                <w:sz w:val="22"/>
                <w:szCs w:val="28"/>
              </w:rPr>
            </w:pPr>
          </w:p>
          <w:p w14:paraId="6DD949A7">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院内医用耗材精细化管理系统功能要求</w:t>
            </w:r>
          </w:p>
          <w:p w14:paraId="43EB8175">
            <w:pPr>
              <w:rPr>
                <w:rFonts w:hint="eastAsia" w:ascii="微软雅黑" w:hAnsi="微软雅黑" w:eastAsia="微软雅黑" w:cs="微软雅黑"/>
              </w:rPr>
            </w:pPr>
          </w:p>
        </w:tc>
        <w:tc>
          <w:tcPr>
            <w:tcW w:w="7167" w:type="dxa"/>
          </w:tcPr>
          <w:p w14:paraId="3CD22DA9">
            <w:pPr>
              <w:adjustRightInd w:val="0"/>
              <w:snapToGrid w:val="0"/>
              <w:spacing w:line="360" w:lineRule="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2.医院SPD供应链管理系统中心库管理模块（院内端）</w:t>
            </w:r>
          </w:p>
          <w:p w14:paraId="662E8329">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中心库实现集中化运营服务，包括协助医用耗材品规品种的信息化准入标准建设，高值耗材院内统一赋码，常备耗材统一仓储，以及院内耗材配送等工作内容；为临床科室提供二级库精细化管理，包括二级库补货、拣选、库存、效期预警、盘点、消耗结算等工作。</w:t>
            </w:r>
          </w:p>
          <w:p w14:paraId="216AA2C6">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商品管理，支持上传产品外观图片；</w:t>
            </w:r>
          </w:p>
          <w:p w14:paraId="12F34878">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采购管理，支持手工或自动生成采购计划，审批通过后生效；</w:t>
            </w:r>
          </w:p>
          <w:p w14:paraId="1A2FE276">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采购管理，支持按设置的规则对采购计划进行拆分并发送医院SPD供应链平台（供应商端）；</w:t>
            </w:r>
          </w:p>
          <w:p w14:paraId="3A0F8B8E">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采购管理，支持采购订单状态实时更新；</w:t>
            </w:r>
          </w:p>
          <w:p w14:paraId="01699364">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采购管理，支持科室专科专用商品的申购转采购，申领单号随采购计划同步至SPD供应链平台（供应商端），经平台配送入库时自动识别科室申购单，实现一键直送科室入库（专购出库）；</w:t>
            </w:r>
          </w:p>
          <w:p w14:paraId="4A481DC6">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入库验收，支持独立收货、验收环节，验收信息同步更新至SPD供应链平台（供应商端）；</w:t>
            </w:r>
          </w:p>
          <w:p w14:paraId="4BAB027B">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入库验收，支持合格证等信息的上传和查询；</w:t>
            </w:r>
          </w:p>
          <w:p w14:paraId="7A8B0DE9">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入库验收，支持手工收货验收商品，信息同步更新至SPD供应链平台（供应商端）；</w:t>
            </w:r>
          </w:p>
          <w:p w14:paraId="43A18CB2">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中心库管理，针对不同定数包大小的商品，支持不同区域的多货位管理；</w:t>
            </w:r>
          </w:p>
          <w:p w14:paraId="279F559E">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中心库管理，拥有全院、中心库、二级库三个维度的截止库存查询。</w:t>
            </w:r>
          </w:p>
          <w:p w14:paraId="26A456C8">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中心库管理，支持中心库通过手持PDA进行盘点功能；</w:t>
            </w:r>
          </w:p>
          <w:p w14:paraId="09A1FBF8">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中心库管理，系统可设置效期预警天数，并生成近效期预警库存记录；</w:t>
            </w:r>
          </w:p>
          <w:p w14:paraId="140103CF">
            <w:pPr>
              <w:pStyle w:val="20"/>
              <w:numPr>
                <w:ilvl w:val="0"/>
                <w:numId w:val="3"/>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中心库管理，支持推送耗材消耗信息给科室进行二次确认，并附上电子签名；</w:t>
            </w:r>
          </w:p>
        </w:tc>
      </w:tr>
      <w:tr w14:paraId="4537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2839EE86">
            <w:pPr>
              <w:rPr>
                <w:rFonts w:hint="eastAsia" w:ascii="微软雅黑" w:hAnsi="微软雅黑" w:eastAsia="微软雅黑" w:cs="微软雅黑"/>
              </w:rPr>
            </w:pPr>
          </w:p>
        </w:tc>
        <w:tc>
          <w:tcPr>
            <w:tcW w:w="7167" w:type="dxa"/>
          </w:tcPr>
          <w:p w14:paraId="51805C47">
            <w:pPr>
              <w:adjustRightInd w:val="0"/>
              <w:snapToGrid w:val="0"/>
              <w:spacing w:line="360" w:lineRule="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3. 医院SPD供应链管理系统高值耗材管理模块（院内端）</w:t>
            </w:r>
          </w:p>
          <w:p w14:paraId="4460E237">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要求：该模块需从参与手术的重点科室的耗材管理需求出发，结合医用耗材智能化设备（至少包含RFID技术），实现耗材智能存取、计费关联、无纸化确认等，让医护人员减少相关操作，更专注于临床工作。</w:t>
            </w:r>
          </w:p>
          <w:p w14:paraId="53D32A53">
            <w:pPr>
              <w:pStyle w:val="20"/>
              <w:adjustRightInd w:val="0"/>
              <w:snapToGrid w:val="0"/>
              <w:spacing w:line="360" w:lineRule="auto"/>
              <w:ind w:firstLine="440"/>
              <w:rPr>
                <w:rFonts w:hint="eastAsia" w:ascii="微软雅黑" w:hAnsi="微软雅黑" w:eastAsia="微软雅黑" w:cs="微软雅黑"/>
                <w:sz w:val="22"/>
                <w:szCs w:val="28"/>
              </w:rPr>
            </w:pPr>
            <w:r>
              <w:rPr>
                <w:rFonts w:hint="eastAsia" w:ascii="微软雅黑" w:hAnsi="微软雅黑" w:eastAsia="微软雅黑" w:cs="微软雅黑"/>
                <w:sz w:val="22"/>
                <w:szCs w:val="28"/>
              </w:rPr>
              <w:t>支持医用耗材入库、出库、库存、效期等科室日常作业和管理需要，实现对耗材数据监管及分析等的精细化管理。</w:t>
            </w:r>
          </w:p>
          <w:p w14:paraId="670BA3E4">
            <w:pPr>
              <w:pStyle w:val="20"/>
              <w:numPr>
                <w:ilvl w:val="0"/>
                <w:numId w:val="4"/>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能够设定耗材库存上下限，系统自动匹配当前库存，自动生成补货预警；</w:t>
            </w:r>
          </w:p>
          <w:p w14:paraId="449B57B1">
            <w:pPr>
              <w:pStyle w:val="20"/>
              <w:numPr>
                <w:ilvl w:val="0"/>
                <w:numId w:val="4"/>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支持二级库寄售库存扫码盘点；</w:t>
            </w:r>
          </w:p>
          <w:p w14:paraId="167FF06E">
            <w:pPr>
              <w:pStyle w:val="20"/>
              <w:numPr>
                <w:ilvl w:val="0"/>
                <w:numId w:val="4"/>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支持高值耗材的消耗后通过接口与HIS计费联动；</w:t>
            </w:r>
          </w:p>
        </w:tc>
      </w:tr>
      <w:tr w14:paraId="26AE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774129C6">
            <w:pPr>
              <w:rPr>
                <w:rFonts w:hint="eastAsia" w:ascii="微软雅黑" w:hAnsi="微软雅黑" w:eastAsia="微软雅黑" w:cs="微软雅黑"/>
              </w:rPr>
            </w:pPr>
          </w:p>
        </w:tc>
        <w:tc>
          <w:tcPr>
            <w:tcW w:w="7167" w:type="dxa"/>
          </w:tcPr>
          <w:p w14:paraId="19EC764F">
            <w:pPr>
              <w:adjustRightInd w:val="0"/>
              <w:snapToGrid w:val="0"/>
              <w:spacing w:line="360" w:lineRule="auto"/>
              <w:rPr>
                <w:rFonts w:hint="eastAsia" w:ascii="微软雅黑" w:hAnsi="微软雅黑" w:eastAsia="微软雅黑" w:cs="微软雅黑"/>
                <w:sz w:val="22"/>
                <w:szCs w:val="28"/>
              </w:rPr>
            </w:pPr>
            <w:r>
              <w:rPr>
                <w:rFonts w:hint="eastAsia" w:ascii="微软雅黑" w:hAnsi="微软雅黑" w:eastAsia="微软雅黑" w:cs="微软雅黑"/>
                <w:sz w:val="22"/>
                <w:szCs w:val="28"/>
              </w:rPr>
              <w:t>4.</w:t>
            </w:r>
            <w:r>
              <w:rPr>
                <w:rFonts w:hint="eastAsia" w:ascii="微软雅黑" w:hAnsi="微软雅黑" w:eastAsia="微软雅黑" w:cs="微软雅黑"/>
                <w:b/>
                <w:bCs/>
                <w:sz w:val="22"/>
                <w:szCs w:val="28"/>
              </w:rPr>
              <w:t>医院SPD供应链管理系统检验科耗材管理模块(院内端)</w:t>
            </w:r>
          </w:p>
          <w:p w14:paraId="1F838566">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要求：该模块需支持体外诊断试剂试剂入库、出库、库存、效期批号等科室日常作业和管理需要，实现对试剂数据监管及分析等的精细化管理。</w:t>
            </w:r>
          </w:p>
          <w:p w14:paraId="13A16596">
            <w:pPr>
              <w:pStyle w:val="20"/>
              <w:numPr>
                <w:ilvl w:val="0"/>
                <w:numId w:val="5"/>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可设定试剂库存上下限，系统自动匹配当前库存，自动生成补货预警，实现一键确认生成补货采购计划，同时支持采购单的拆分、导出和打印；</w:t>
            </w:r>
          </w:p>
          <w:p w14:paraId="31C2E291">
            <w:pPr>
              <w:pStyle w:val="20"/>
              <w:numPr>
                <w:ilvl w:val="0"/>
                <w:numId w:val="5"/>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系统可针对不同耗材设置不同的效期预警天数，并生成近效期预警库存记录；</w:t>
            </w:r>
          </w:p>
          <w:p w14:paraId="42332091">
            <w:pPr>
              <w:pStyle w:val="20"/>
              <w:numPr>
                <w:ilvl w:val="0"/>
                <w:numId w:val="5"/>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扫描出库单确认收货；</w:t>
            </w:r>
          </w:p>
        </w:tc>
      </w:tr>
      <w:tr w14:paraId="7308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1E4602E">
            <w:pPr>
              <w:rPr>
                <w:rFonts w:hint="eastAsia" w:ascii="微软雅黑" w:hAnsi="微软雅黑" w:eastAsia="微软雅黑" w:cs="微软雅黑"/>
              </w:rPr>
            </w:pPr>
          </w:p>
        </w:tc>
        <w:tc>
          <w:tcPr>
            <w:tcW w:w="7167" w:type="dxa"/>
          </w:tcPr>
          <w:p w14:paraId="014A80E2">
            <w:pPr>
              <w:adjustRightInd w:val="0"/>
              <w:snapToGrid w:val="0"/>
              <w:spacing w:line="360" w:lineRule="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5. 医院SPD供应链管理系统低值耗材管理模块（院内端）</w:t>
            </w:r>
          </w:p>
          <w:p w14:paraId="223F0C1C">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与住院病人耗材消耗挂钩，动态监管医用耗材效期、批号、库存安全量，自动补货预警；</w:t>
            </w:r>
          </w:p>
          <w:p w14:paraId="67C055E1">
            <w:pPr>
              <w:pStyle w:val="20"/>
              <w:numPr>
                <w:ilvl w:val="0"/>
                <w:numId w:val="6"/>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临床科室实现扫码确认收货，盘点，消耗等精细化管理；</w:t>
            </w:r>
          </w:p>
          <w:p w14:paraId="58AB778F">
            <w:pPr>
              <w:pStyle w:val="20"/>
              <w:numPr>
                <w:ilvl w:val="0"/>
                <w:numId w:val="6"/>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低值耗材支持定数包管理；</w:t>
            </w:r>
          </w:p>
          <w:p w14:paraId="451690CD">
            <w:pPr>
              <w:pStyle w:val="20"/>
              <w:numPr>
                <w:ilvl w:val="0"/>
                <w:numId w:val="6"/>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支持科室申领、申购操作；</w:t>
            </w:r>
          </w:p>
          <w:p w14:paraId="0DBDD8E0">
            <w:pPr>
              <w:pStyle w:val="20"/>
              <w:numPr>
                <w:ilvl w:val="0"/>
                <w:numId w:val="6"/>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支持科室对一定时间段内消耗数据的签名确认，并显示电子签名；</w:t>
            </w:r>
          </w:p>
          <w:p w14:paraId="4735B907">
            <w:pPr>
              <w:pStyle w:val="20"/>
              <w:numPr>
                <w:ilvl w:val="0"/>
                <w:numId w:val="6"/>
              </w:numPr>
              <w:adjustRightInd w:val="0"/>
              <w:snapToGrid w:val="0"/>
              <w:spacing w:line="360" w:lineRule="auto"/>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科室盘点后，自动生成科室盘点表；</w:t>
            </w:r>
          </w:p>
        </w:tc>
      </w:tr>
      <w:tr w14:paraId="58DB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C11AD9E">
            <w:pPr>
              <w:rPr>
                <w:rFonts w:hint="eastAsia" w:ascii="微软雅黑" w:hAnsi="微软雅黑" w:eastAsia="微软雅黑" w:cs="微软雅黑"/>
              </w:rPr>
            </w:pPr>
          </w:p>
        </w:tc>
        <w:tc>
          <w:tcPr>
            <w:tcW w:w="7167" w:type="dxa"/>
          </w:tcPr>
          <w:p w14:paraId="6D3E41AA">
            <w:pPr>
              <w:adjustRightInd w:val="0"/>
              <w:snapToGrid w:val="0"/>
              <w:spacing w:line="360" w:lineRule="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6. 医院SPD供应链管理系统结算方式</w:t>
            </w:r>
          </w:p>
          <w:p w14:paraId="086A0A9A">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支持日清月结，通过日清月结，便于护士长了解科室的消耗数据及消耗成本，为科室管理提供数据依据；</w:t>
            </w:r>
          </w:p>
          <w:p w14:paraId="67256287">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支持结算确认单据显示手工签名；</w:t>
            </w:r>
          </w:p>
          <w:p w14:paraId="2041B1CE">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支持同一家医院，不同供应商不同的结算模式；</w:t>
            </w:r>
          </w:p>
          <w:p w14:paraId="4BD6E31C">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4)</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支持供应商可登录平台查看完整的结算明细；</w:t>
            </w:r>
          </w:p>
        </w:tc>
      </w:tr>
      <w:tr w14:paraId="24CA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4A13E25">
            <w:pPr>
              <w:rPr>
                <w:rFonts w:hint="eastAsia" w:ascii="微软雅黑" w:hAnsi="微软雅黑" w:eastAsia="微软雅黑" w:cs="微软雅黑"/>
              </w:rPr>
            </w:pPr>
          </w:p>
          <w:p w14:paraId="6311D298">
            <w:pPr>
              <w:rPr>
                <w:rFonts w:hint="eastAsia" w:ascii="微软雅黑" w:hAnsi="微软雅黑" w:eastAsia="微软雅黑" w:cs="微软雅黑"/>
              </w:rPr>
            </w:pPr>
          </w:p>
          <w:p w14:paraId="3DC90595">
            <w:pPr>
              <w:rPr>
                <w:rFonts w:hint="eastAsia" w:ascii="微软雅黑" w:hAnsi="微软雅黑" w:eastAsia="微软雅黑" w:cs="微软雅黑"/>
              </w:rPr>
            </w:pPr>
          </w:p>
          <w:p w14:paraId="63E80256">
            <w:pPr>
              <w:rPr>
                <w:rFonts w:hint="eastAsia" w:ascii="微软雅黑" w:hAnsi="微软雅黑" w:eastAsia="微软雅黑" w:cs="微软雅黑"/>
              </w:rPr>
            </w:pPr>
          </w:p>
          <w:p w14:paraId="56AE9BF2">
            <w:pPr>
              <w:rPr>
                <w:rFonts w:hint="eastAsia" w:ascii="微软雅黑" w:hAnsi="微软雅黑" w:eastAsia="微软雅黑" w:cs="微软雅黑"/>
              </w:rPr>
            </w:pPr>
          </w:p>
          <w:p w14:paraId="03A172AD">
            <w:pPr>
              <w:rPr>
                <w:rFonts w:hint="eastAsia" w:ascii="微软雅黑" w:hAnsi="微软雅黑" w:eastAsia="微软雅黑" w:cs="微软雅黑"/>
              </w:rPr>
            </w:pPr>
          </w:p>
          <w:p w14:paraId="63B90F91">
            <w:pPr>
              <w:adjustRightInd w:val="0"/>
              <w:snapToGrid w:val="0"/>
              <w:spacing w:line="360" w:lineRule="auto"/>
              <w:ind w:firstLine="440" w:firstLineChars="200"/>
              <w:rPr>
                <w:rFonts w:hint="eastAsia" w:ascii="微软雅黑" w:hAnsi="微软雅黑" w:eastAsia="微软雅黑" w:cs="微软雅黑"/>
                <w:sz w:val="22"/>
                <w:szCs w:val="28"/>
              </w:rPr>
            </w:pPr>
          </w:p>
          <w:p w14:paraId="4D971AC5">
            <w:pPr>
              <w:adjustRightInd w:val="0"/>
              <w:snapToGrid w:val="0"/>
              <w:spacing w:line="360" w:lineRule="auto"/>
              <w:rPr>
                <w:rFonts w:hint="eastAsia" w:ascii="微软雅黑" w:hAnsi="微软雅黑" w:eastAsia="微软雅黑" w:cs="微软雅黑"/>
              </w:rPr>
            </w:pPr>
            <w:r>
              <w:rPr>
                <w:rFonts w:hint="eastAsia" w:ascii="微软雅黑" w:hAnsi="微软雅黑" w:eastAsia="微软雅黑" w:cs="微软雅黑"/>
                <w:sz w:val="22"/>
                <w:szCs w:val="28"/>
              </w:rPr>
              <w:t>院内物流平台系统技术要求</w:t>
            </w:r>
          </w:p>
        </w:tc>
        <w:tc>
          <w:tcPr>
            <w:tcW w:w="7167" w:type="dxa"/>
          </w:tcPr>
          <w:p w14:paraId="38EAE364">
            <w:pPr>
              <w:adjustRightInd w:val="0"/>
              <w:snapToGrid w:val="0"/>
              <w:spacing w:line="360" w:lineRule="auto"/>
              <w:ind w:firstLine="440" w:firstLineChars="200"/>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1.SPD软件技术要求</w:t>
            </w:r>
          </w:p>
          <w:p w14:paraId="2622356B">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采用前后端分离技术的整体框架，前端技术使用流行的vue技术，快速实现数据绑定及展示；</w:t>
            </w:r>
          </w:p>
          <w:p w14:paraId="0968054B">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系统跨平台性良好，支持通用的64位Windows、Linux等操作系统；</w:t>
            </w:r>
          </w:p>
          <w:p w14:paraId="769FC34B">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要求实时和异步实现各系统间数据同步与互动，数据传输效率高，基于事务处理，保证数据一致性；</w:t>
            </w:r>
          </w:p>
          <w:p w14:paraId="6A140529">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4)</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支持二次开发各类报表及数据提取，并支持以各种图表形式展现；</w:t>
            </w:r>
          </w:p>
          <w:p w14:paraId="1D16EBE9">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5)</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 xml:space="preserve">支持PDA手持终端操作，使用基于Android操作系统的APP操作软件，实现PDA手持终端扫描数据与院内物流系统数据进行实时交互； </w:t>
            </w:r>
          </w:p>
          <w:p w14:paraId="13650058">
            <w:pPr>
              <w:adjustRightInd w:val="0"/>
              <w:snapToGrid w:val="0"/>
              <w:spacing w:line="360" w:lineRule="auto"/>
              <w:ind w:firstLine="440" w:firstLineChars="200"/>
              <w:rPr>
                <w:rFonts w:hint="eastAsia" w:ascii="微软雅黑" w:hAnsi="微软雅黑" w:eastAsia="微软雅黑" w:cs="微软雅黑"/>
                <w:sz w:val="22"/>
                <w:szCs w:val="28"/>
              </w:rPr>
            </w:pPr>
            <w:r>
              <w:rPr>
                <w:rFonts w:hint="eastAsia" w:ascii="微软雅黑" w:hAnsi="微软雅黑" w:eastAsia="微软雅黑" w:cs="微软雅黑"/>
                <w:sz w:val="22"/>
                <w:szCs w:val="28"/>
              </w:rPr>
              <w:t>6)</w:t>
            </w:r>
            <w:r>
              <w:rPr>
                <w:rFonts w:hint="eastAsia" w:ascii="微软雅黑" w:hAnsi="微软雅黑" w:eastAsia="微软雅黑" w:cs="微软雅黑"/>
                <w:sz w:val="22"/>
                <w:szCs w:val="28"/>
              </w:rPr>
              <w:tab/>
            </w:r>
            <w:r>
              <w:rPr>
                <w:rFonts w:hint="eastAsia" w:ascii="微软雅黑" w:hAnsi="微软雅黑" w:eastAsia="微软雅黑" w:cs="微软雅黑"/>
                <w:sz w:val="22"/>
                <w:szCs w:val="28"/>
              </w:rPr>
              <w:t>支持消息通知平台，实现订单、退货单、效期等消息的定向、及时通知。</w:t>
            </w:r>
          </w:p>
        </w:tc>
      </w:tr>
      <w:bookmarkEnd w:id="20"/>
    </w:tbl>
    <w:p w14:paraId="195C4578">
      <w:pPr>
        <w:adjustRightInd w:val="0"/>
        <w:snapToGrid w:val="0"/>
        <w:spacing w:line="360" w:lineRule="auto"/>
        <w:rPr>
          <w:rFonts w:hint="eastAsia" w:ascii="微软雅黑" w:hAnsi="微软雅黑" w:eastAsia="微软雅黑" w:cs="微软雅黑"/>
          <w:b/>
          <w:bCs/>
          <w:sz w:val="22"/>
          <w:szCs w:val="28"/>
        </w:rPr>
      </w:pPr>
    </w:p>
    <w:p w14:paraId="3F44DDED">
      <w:pPr>
        <w:adjustRightInd w:val="0"/>
        <w:snapToGrid w:val="0"/>
        <w:spacing w:line="360" w:lineRule="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5.2主要硬件高值耗材柜参数</w:t>
      </w:r>
    </w:p>
    <w:p w14:paraId="50029ADF">
      <w:pPr>
        <w:adjustRightInd w:val="0"/>
        <w:snapToGrid w:val="0"/>
        <w:spacing w:line="360" w:lineRule="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1、高值耗材管理主柜参数要求</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74"/>
        <w:gridCol w:w="6291"/>
      </w:tblGrid>
      <w:tr w14:paraId="2E81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0EFC4BAF">
            <w:pPr>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序号</w:t>
            </w:r>
          </w:p>
        </w:tc>
        <w:tc>
          <w:tcPr>
            <w:tcW w:w="1571" w:type="dxa"/>
            <w:shd w:val="clear" w:color="auto" w:fill="auto"/>
            <w:vAlign w:val="center"/>
          </w:tcPr>
          <w:p w14:paraId="7FF036E9">
            <w:pPr>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子项</w:t>
            </w:r>
          </w:p>
        </w:tc>
        <w:tc>
          <w:tcPr>
            <w:tcW w:w="6299" w:type="dxa"/>
            <w:shd w:val="clear" w:color="auto" w:fill="auto"/>
            <w:vAlign w:val="center"/>
          </w:tcPr>
          <w:p w14:paraId="3D778DA5">
            <w:pPr>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color w:val="000000"/>
                <w:sz w:val="22"/>
                <w:szCs w:val="22"/>
              </w:rPr>
              <w:t>技术参数要求</w:t>
            </w:r>
          </w:p>
        </w:tc>
      </w:tr>
      <w:tr w14:paraId="4A34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413B8D20">
            <w:pPr>
              <w:numPr>
                <w:ilvl w:val="0"/>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24A1E6B5">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智能控制终端</w:t>
            </w:r>
          </w:p>
        </w:tc>
        <w:tc>
          <w:tcPr>
            <w:tcW w:w="6299" w:type="dxa"/>
            <w:shd w:val="clear" w:color="auto" w:fill="auto"/>
            <w:vAlign w:val="center"/>
          </w:tcPr>
          <w:p w14:paraId="721C7EAC">
            <w:pPr>
              <w:widowControl/>
              <w:adjustRightInd w:val="0"/>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应具有良好的人机交互功能，满足临床使用，用户操作方便</w:t>
            </w:r>
          </w:p>
        </w:tc>
      </w:tr>
      <w:tr w14:paraId="126C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5E03024D">
            <w:pPr>
              <w:numPr>
                <w:ilvl w:val="1"/>
                <w:numId w:val="8"/>
              </w:numPr>
              <w:tabs>
                <w:tab w:val="left" w:pos="0"/>
              </w:tabs>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347C3950">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操作显示终端</w:t>
            </w:r>
          </w:p>
        </w:tc>
        <w:tc>
          <w:tcPr>
            <w:tcW w:w="6299" w:type="dxa"/>
            <w:shd w:val="clear" w:color="auto" w:fill="auto"/>
            <w:vAlign w:val="center"/>
          </w:tcPr>
          <w:p w14:paraId="1CAF76C6">
            <w:pPr>
              <w:widowControl/>
              <w:adjustRightInd w:val="0"/>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外置≥15寸操作显示终端；</w:t>
            </w:r>
            <w:r>
              <w:rPr>
                <w:rFonts w:hint="eastAsia" w:ascii="微软雅黑" w:hAnsi="微软雅黑" w:eastAsia="微软雅黑" w:cs="微软雅黑"/>
                <w:sz w:val="22"/>
                <w:szCs w:val="22"/>
              </w:rPr>
              <w:t>可独立安装在任意正面，不占用柜体容量</w:t>
            </w:r>
          </w:p>
        </w:tc>
      </w:tr>
      <w:tr w14:paraId="53FA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60BB4B14">
            <w:pPr>
              <w:numPr>
                <w:ilvl w:val="1"/>
                <w:numId w:val="8"/>
              </w:numPr>
              <w:tabs>
                <w:tab w:val="left" w:pos="0"/>
              </w:tabs>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0C3C15EF">
            <w:pPr>
              <w:adjustRightInd w:val="0"/>
              <w:snapToGrid w:val="0"/>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bCs/>
                <w:sz w:val="22"/>
                <w:szCs w:val="22"/>
              </w:rPr>
              <w:t>主机配置</w:t>
            </w:r>
          </w:p>
        </w:tc>
        <w:tc>
          <w:tcPr>
            <w:tcW w:w="6299" w:type="dxa"/>
            <w:shd w:val="clear" w:color="auto" w:fill="auto"/>
            <w:vAlign w:val="center"/>
          </w:tcPr>
          <w:p w14:paraId="7822393A">
            <w:pPr>
              <w:widowControl/>
              <w:adjustRightInd w:val="0"/>
              <w:snapToGrid w:val="0"/>
              <w:spacing w:line="360" w:lineRule="auto"/>
              <w:rPr>
                <w:rFonts w:hint="eastAsia" w:ascii="微软雅黑" w:hAnsi="微软雅黑" w:eastAsia="微软雅黑" w:cs="微软雅黑"/>
                <w:color w:val="0000FF"/>
                <w:sz w:val="22"/>
                <w:szCs w:val="22"/>
              </w:rPr>
            </w:pPr>
            <w:r>
              <w:rPr>
                <w:rFonts w:hint="eastAsia" w:ascii="微软雅黑" w:hAnsi="微软雅黑" w:eastAsia="微软雅黑" w:cs="微软雅黑"/>
                <w:sz w:val="22"/>
                <w:szCs w:val="22"/>
              </w:rPr>
              <w:t>≥Intel I5桌面级CPU，≥8G内存，≥128GB SSD硬盘，支持升级配置，便于维护（提供系统配置截图）</w:t>
            </w:r>
          </w:p>
        </w:tc>
      </w:tr>
      <w:tr w14:paraId="4607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48CAB63F">
            <w:pPr>
              <w:numPr>
                <w:ilvl w:val="1"/>
                <w:numId w:val="8"/>
              </w:numPr>
              <w:tabs>
                <w:tab w:val="left" w:pos="0"/>
              </w:tabs>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0B052F74">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人脸识别</w:t>
            </w:r>
          </w:p>
          <w:p w14:paraId="04359FCB">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登录</w:t>
            </w:r>
          </w:p>
        </w:tc>
        <w:tc>
          <w:tcPr>
            <w:tcW w:w="6299" w:type="dxa"/>
            <w:shd w:val="clear" w:color="auto" w:fill="auto"/>
            <w:vAlign w:val="center"/>
          </w:tcPr>
          <w:p w14:paraId="49F48E67">
            <w:pPr>
              <w:widowControl/>
              <w:adjustRightInd w:val="0"/>
              <w:snapToGrid w:val="0"/>
              <w:spacing w:line="360" w:lineRule="auto"/>
              <w:rPr>
                <w:rFonts w:hint="eastAsia" w:ascii="微软雅黑" w:hAnsi="微软雅黑" w:eastAsia="微软雅黑" w:cs="微软雅黑"/>
                <w:sz w:val="22"/>
                <w:szCs w:val="22"/>
              </w:rPr>
            </w:pPr>
            <w:r>
              <w:rPr>
                <w:rFonts w:hint="eastAsia" w:ascii="微软雅黑" w:hAnsi="微软雅黑" w:eastAsia="微软雅黑" w:cs="微软雅黑"/>
                <w:bCs/>
                <w:sz w:val="22"/>
                <w:szCs w:val="22"/>
              </w:rPr>
              <w:t>支持戴口罩的人脸识别登录</w:t>
            </w:r>
            <w:r>
              <w:rPr>
                <w:rFonts w:hint="eastAsia" w:ascii="微软雅黑" w:hAnsi="微软雅黑" w:eastAsia="微软雅黑" w:cs="微软雅黑"/>
                <w:sz w:val="22"/>
                <w:szCs w:val="22"/>
              </w:rPr>
              <w:t>方式</w:t>
            </w:r>
            <w:r>
              <w:rPr>
                <w:rFonts w:hint="eastAsia" w:ascii="微软雅黑" w:hAnsi="微软雅黑" w:eastAsia="微软雅黑" w:cs="微软雅黑"/>
                <w:bCs/>
                <w:sz w:val="22"/>
                <w:szCs w:val="22"/>
              </w:rPr>
              <w:t>（提供经国家认可的第三方检测机构出具的检测报告）</w:t>
            </w:r>
          </w:p>
        </w:tc>
      </w:tr>
      <w:tr w14:paraId="781F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3E8CA47F">
            <w:pPr>
              <w:numPr>
                <w:ilvl w:val="1"/>
                <w:numId w:val="8"/>
              </w:numPr>
              <w:tabs>
                <w:tab w:val="left" w:pos="0"/>
              </w:tabs>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6648F812">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语音系统</w:t>
            </w:r>
          </w:p>
        </w:tc>
        <w:tc>
          <w:tcPr>
            <w:tcW w:w="6299" w:type="dxa"/>
            <w:shd w:val="clear" w:color="auto" w:fill="auto"/>
            <w:vAlign w:val="center"/>
          </w:tcPr>
          <w:p w14:paraId="1861B9BC">
            <w:pPr>
              <w:widowControl/>
              <w:adjustRightInd w:val="0"/>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sz w:val="22"/>
                <w:szCs w:val="22"/>
              </w:rPr>
              <w:t>系统自带扬声器，具备语音系统，可智能语音提醒</w:t>
            </w:r>
          </w:p>
        </w:tc>
      </w:tr>
      <w:tr w14:paraId="75CB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5E9D1CDF">
            <w:pPr>
              <w:numPr>
                <w:ilvl w:val="1"/>
                <w:numId w:val="8"/>
              </w:numPr>
              <w:tabs>
                <w:tab w:val="left" w:pos="0"/>
              </w:tabs>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4C69836F">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sz w:val="22"/>
                <w:szCs w:val="22"/>
              </w:rPr>
              <w:t>主辅配置</w:t>
            </w:r>
          </w:p>
        </w:tc>
        <w:tc>
          <w:tcPr>
            <w:tcW w:w="6299" w:type="dxa"/>
            <w:shd w:val="clear" w:color="auto" w:fill="auto"/>
            <w:vAlign w:val="center"/>
          </w:tcPr>
          <w:p w14:paraId="06E40CCC">
            <w:pPr>
              <w:widowControl/>
              <w:adjustRightInd w:val="0"/>
              <w:snapToGrid w:val="0"/>
              <w:spacing w:line="360" w:lineRule="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支持主辅柜联合使用和主柜单独分科使用</w:t>
            </w:r>
          </w:p>
        </w:tc>
      </w:tr>
      <w:tr w14:paraId="632C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22027225">
            <w:pPr>
              <w:numPr>
                <w:ilvl w:val="1"/>
                <w:numId w:val="8"/>
              </w:numPr>
              <w:tabs>
                <w:tab w:val="left" w:pos="0"/>
              </w:tabs>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52E1CA2F">
            <w:pPr>
              <w:adjustRightInd w:val="0"/>
              <w:snapToGrid w:val="0"/>
              <w:spacing w:line="360" w:lineRule="auto"/>
              <w:jc w:val="center"/>
              <w:rPr>
                <w:rFonts w:hint="eastAsia" w:ascii="微软雅黑" w:hAnsi="微软雅黑" w:eastAsia="微软雅黑" w:cs="微软雅黑"/>
                <w:color w:val="0000FF"/>
                <w:sz w:val="22"/>
                <w:szCs w:val="22"/>
              </w:rPr>
            </w:pPr>
            <w:r>
              <w:rPr>
                <w:rFonts w:hint="eastAsia" w:ascii="微软雅黑" w:hAnsi="微软雅黑" w:eastAsia="微软雅黑" w:cs="微软雅黑"/>
                <w:bCs/>
                <w:sz w:val="22"/>
                <w:szCs w:val="22"/>
              </w:rPr>
              <w:t>网络</w:t>
            </w:r>
          </w:p>
        </w:tc>
        <w:tc>
          <w:tcPr>
            <w:tcW w:w="6299" w:type="dxa"/>
            <w:shd w:val="clear" w:color="auto" w:fill="auto"/>
            <w:vAlign w:val="center"/>
          </w:tcPr>
          <w:p w14:paraId="3B16579F">
            <w:pPr>
              <w:widowControl/>
              <w:adjustRightInd w:val="0"/>
              <w:snapToGrid w:val="0"/>
              <w:spacing w:line="360" w:lineRule="auto"/>
              <w:rPr>
                <w:rFonts w:hint="eastAsia" w:ascii="微软雅黑" w:hAnsi="微软雅黑" w:eastAsia="微软雅黑" w:cs="微软雅黑"/>
                <w:color w:val="0000FF"/>
                <w:sz w:val="22"/>
                <w:szCs w:val="22"/>
              </w:rPr>
            </w:pPr>
            <w:r>
              <w:rPr>
                <w:rFonts w:hint="eastAsia" w:ascii="微软雅黑" w:hAnsi="微软雅黑" w:eastAsia="微软雅黑" w:cs="微软雅黑"/>
                <w:sz w:val="22"/>
                <w:szCs w:val="22"/>
              </w:rPr>
              <w:t>支持有线网络、无线网络</w:t>
            </w:r>
          </w:p>
        </w:tc>
      </w:tr>
      <w:tr w14:paraId="1B2F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36993A38">
            <w:pPr>
              <w:numPr>
                <w:ilvl w:val="0"/>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2F5B4B64">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柜体结构部分</w:t>
            </w:r>
          </w:p>
        </w:tc>
        <w:tc>
          <w:tcPr>
            <w:tcW w:w="6299" w:type="dxa"/>
            <w:shd w:val="clear" w:color="auto" w:fill="auto"/>
            <w:vAlign w:val="center"/>
          </w:tcPr>
          <w:p w14:paraId="5C67F506">
            <w:pPr>
              <w:widowControl/>
              <w:adjustRightInd w:val="0"/>
              <w:snapToGrid w:val="0"/>
              <w:spacing w:line="360" w:lineRule="auto"/>
              <w:rPr>
                <w:rFonts w:hint="eastAsia" w:ascii="微软雅黑" w:hAnsi="微软雅黑" w:eastAsia="微软雅黑" w:cs="微软雅黑"/>
                <w:sz w:val="22"/>
                <w:szCs w:val="22"/>
              </w:rPr>
            </w:pPr>
            <w:r>
              <w:rPr>
                <w:rFonts w:hint="eastAsia" w:ascii="微软雅黑" w:hAnsi="微软雅黑" w:eastAsia="微软雅黑" w:cs="微软雅黑"/>
                <w:bCs/>
                <w:sz w:val="22"/>
                <w:szCs w:val="22"/>
              </w:rPr>
              <w:t>同时满足使用场景的空间要求和临床科室存量及管控要求</w:t>
            </w:r>
          </w:p>
        </w:tc>
      </w:tr>
      <w:tr w14:paraId="541F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shd w:val="clear" w:color="auto" w:fill="auto"/>
            <w:vAlign w:val="center"/>
          </w:tcPr>
          <w:p w14:paraId="1143778B">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644DD674">
            <w:pPr>
              <w:adjustRightInd w:val="0"/>
              <w:snapToGrid w:val="0"/>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外观尺寸</w:t>
            </w:r>
          </w:p>
        </w:tc>
        <w:tc>
          <w:tcPr>
            <w:tcW w:w="6299" w:type="dxa"/>
            <w:shd w:val="clear" w:color="auto" w:fill="auto"/>
            <w:vAlign w:val="center"/>
          </w:tcPr>
          <w:p w14:paraId="1928FA82">
            <w:pPr>
              <w:widowControl/>
              <w:adjustRightInd w:val="0"/>
              <w:snapToGrid w:val="0"/>
              <w:spacing w:line="360" w:lineRule="auto"/>
              <w:rPr>
                <w:rFonts w:hint="eastAsia" w:ascii="微软雅黑" w:hAnsi="微软雅黑" w:eastAsia="微软雅黑" w:cs="微软雅黑"/>
                <w:kern w:val="0"/>
                <w:sz w:val="22"/>
                <w:szCs w:val="22"/>
              </w:rPr>
            </w:pPr>
            <w:r>
              <w:rPr>
                <w:rFonts w:hint="eastAsia" w:ascii="微软雅黑" w:hAnsi="微软雅黑" w:eastAsia="微软雅黑" w:cs="微软雅黑"/>
                <w:sz w:val="22"/>
                <w:szCs w:val="22"/>
              </w:rPr>
              <w:t>考虑使用科室安装空间原因要求外观尺寸宽</w:t>
            </w:r>
            <w:r>
              <w:rPr>
                <w:rFonts w:hint="eastAsia" w:ascii="微软雅黑" w:hAnsi="微软雅黑" w:eastAsia="微软雅黑" w:cs="微软雅黑"/>
                <w:sz w:val="22"/>
                <w:szCs w:val="22"/>
                <w:lang w:bidi="ar"/>
              </w:rPr>
              <w:t>*深*高：710mm*650mm*1920mm</w:t>
            </w:r>
            <w:r>
              <w:rPr>
                <w:rFonts w:hint="eastAsia" w:ascii="微软雅黑" w:hAnsi="微软雅黑" w:eastAsia="微软雅黑" w:cs="微软雅黑"/>
                <w:sz w:val="22"/>
                <w:szCs w:val="22"/>
              </w:rPr>
              <w:t>，允许±100mm偏差</w:t>
            </w:r>
          </w:p>
        </w:tc>
      </w:tr>
      <w:tr w14:paraId="5E45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5C6248B6">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3C3D66EC">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sz w:val="22"/>
                <w:szCs w:val="22"/>
              </w:rPr>
              <w:t>设备材质</w:t>
            </w:r>
          </w:p>
        </w:tc>
        <w:tc>
          <w:tcPr>
            <w:tcW w:w="6299" w:type="dxa"/>
            <w:shd w:val="clear" w:color="auto" w:fill="auto"/>
            <w:vAlign w:val="center"/>
          </w:tcPr>
          <w:p w14:paraId="1AA24534">
            <w:pPr>
              <w:widowControl/>
              <w:adjustRightInd w:val="0"/>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kern w:val="0"/>
                <w:sz w:val="22"/>
                <w:szCs w:val="22"/>
              </w:rPr>
              <w:t>外壳及主体由高强度碳钢加航空铝合金组成，满足美观，耐消毒，易清理，不易老化变色，颜色融入医疗环境的需求，符合医疗机构卫生安全管理要求</w:t>
            </w:r>
          </w:p>
        </w:tc>
      </w:tr>
      <w:tr w14:paraId="6399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2CE7A2D7">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4D5EDE75">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sz w:val="22"/>
                <w:szCs w:val="22"/>
              </w:rPr>
              <w:t>柜门</w:t>
            </w:r>
          </w:p>
        </w:tc>
        <w:tc>
          <w:tcPr>
            <w:tcW w:w="6299" w:type="dxa"/>
            <w:shd w:val="clear" w:color="auto" w:fill="auto"/>
            <w:vAlign w:val="center"/>
          </w:tcPr>
          <w:p w14:paraId="4B890BDD">
            <w:pPr>
              <w:widowControl/>
              <w:adjustRightInd w:val="0"/>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kern w:val="0"/>
                <w:sz w:val="22"/>
                <w:szCs w:val="22"/>
              </w:rPr>
              <w:t>由一整块复合钢化玻璃门构成，防爆耐刮耐消毒，玻璃透明可观察到柜内耗材存放，玻璃集成纳米屏蔽材料</w:t>
            </w:r>
          </w:p>
        </w:tc>
      </w:tr>
      <w:tr w14:paraId="3BEF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53082971">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79E9DED8">
            <w:pPr>
              <w:adjustRightInd w:val="0"/>
              <w:snapToGrid w:val="0"/>
              <w:spacing w:line="360" w:lineRule="auto"/>
              <w:jc w:val="center"/>
              <w:rPr>
                <w:rFonts w:hint="eastAsia" w:ascii="微软雅黑" w:hAnsi="微软雅黑" w:eastAsia="微软雅黑" w:cs="微软雅黑"/>
                <w:bCs/>
                <w:color w:val="0000FF"/>
                <w:sz w:val="22"/>
                <w:szCs w:val="22"/>
              </w:rPr>
            </w:pPr>
            <w:r>
              <w:rPr>
                <w:rFonts w:hint="eastAsia" w:ascii="微软雅黑" w:hAnsi="微软雅黑" w:eastAsia="微软雅黑" w:cs="微软雅黑"/>
                <w:sz w:val="22"/>
                <w:szCs w:val="22"/>
              </w:rPr>
              <w:t>柜灯</w:t>
            </w:r>
          </w:p>
        </w:tc>
        <w:tc>
          <w:tcPr>
            <w:tcW w:w="6299" w:type="dxa"/>
            <w:shd w:val="clear" w:color="auto" w:fill="auto"/>
            <w:vAlign w:val="center"/>
          </w:tcPr>
          <w:p w14:paraId="1C1710E3">
            <w:pPr>
              <w:widowControl/>
              <w:adjustRightInd w:val="0"/>
              <w:snapToGrid w:val="0"/>
              <w:spacing w:line="360" w:lineRule="auto"/>
              <w:rPr>
                <w:rFonts w:hint="eastAsia" w:ascii="微软雅黑" w:hAnsi="微软雅黑" w:eastAsia="微软雅黑" w:cs="微软雅黑"/>
                <w:bCs/>
                <w:color w:val="0000FF"/>
                <w:sz w:val="22"/>
                <w:szCs w:val="22"/>
              </w:rPr>
            </w:pPr>
            <w:r>
              <w:rPr>
                <w:rFonts w:hint="eastAsia" w:ascii="微软雅黑" w:hAnsi="微软雅黑" w:eastAsia="微软雅黑" w:cs="微软雅黑"/>
                <w:kern w:val="0"/>
                <w:sz w:val="22"/>
                <w:szCs w:val="22"/>
              </w:rPr>
              <w:t>配置柜内氛围灯，可清晰照明，同时查找耗材时可自动提示所在柜体</w:t>
            </w:r>
          </w:p>
        </w:tc>
      </w:tr>
      <w:tr w14:paraId="30C2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20E067EB">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16712F05">
            <w:pPr>
              <w:adjustRightInd w:val="0"/>
              <w:snapToGrid w:val="0"/>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bCs/>
                <w:sz w:val="22"/>
                <w:szCs w:val="22"/>
              </w:rPr>
              <w:t>锁控结构</w:t>
            </w:r>
          </w:p>
        </w:tc>
        <w:tc>
          <w:tcPr>
            <w:tcW w:w="6299" w:type="dxa"/>
            <w:shd w:val="clear" w:color="auto" w:fill="auto"/>
            <w:vAlign w:val="center"/>
          </w:tcPr>
          <w:p w14:paraId="0F259B46">
            <w:pPr>
              <w:widowControl/>
              <w:adjustRightInd w:val="0"/>
              <w:snapToGrid w:val="0"/>
              <w:spacing w:line="360" w:lineRule="auto"/>
              <w:rPr>
                <w:rFonts w:hint="eastAsia" w:ascii="微软雅黑" w:hAnsi="微软雅黑" w:eastAsia="微软雅黑" w:cs="微软雅黑"/>
                <w:sz w:val="22"/>
                <w:szCs w:val="22"/>
                <w:lang w:bidi="ar"/>
              </w:rPr>
            </w:pPr>
            <w:r>
              <w:rPr>
                <w:rFonts w:hint="eastAsia" w:ascii="微软雅黑" w:hAnsi="微软雅黑" w:eastAsia="微软雅黑" w:cs="微软雅黑"/>
                <w:sz w:val="22"/>
                <w:szCs w:val="22"/>
              </w:rPr>
              <w:t>每个柜</w:t>
            </w:r>
            <w:r>
              <w:rPr>
                <w:rFonts w:hint="eastAsia" w:ascii="微软雅黑" w:hAnsi="微软雅黑" w:eastAsia="微软雅黑" w:cs="微软雅黑"/>
                <w:sz w:val="22"/>
                <w:szCs w:val="22"/>
                <w:lang w:eastAsia="zh-Hans"/>
              </w:rPr>
              <w:t>门</w:t>
            </w:r>
            <w:r>
              <w:rPr>
                <w:rFonts w:hint="eastAsia" w:ascii="微软雅黑" w:hAnsi="微软雅黑" w:eastAsia="微软雅黑" w:cs="微软雅黑"/>
                <w:sz w:val="22"/>
                <w:szCs w:val="22"/>
              </w:rPr>
              <w:t>正面配置应急锁，在断电或故障等特殊情况下，必须通过应急锁钥匙方可打开柜体，</w:t>
            </w:r>
            <w:r>
              <w:rPr>
                <w:rFonts w:hint="eastAsia" w:ascii="微软雅黑" w:hAnsi="微软雅黑" w:eastAsia="微软雅黑" w:cs="微软雅黑"/>
                <w:bCs/>
                <w:sz w:val="22"/>
                <w:szCs w:val="22"/>
              </w:rPr>
              <w:t>并保持柜体完整性，无需拆开后盖或其他柜体部件。</w:t>
            </w:r>
          </w:p>
        </w:tc>
      </w:tr>
      <w:tr w14:paraId="738B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34692E26">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421C2BD7">
            <w:pPr>
              <w:adjustRightInd w:val="0"/>
              <w:snapToGrid w:val="0"/>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bCs/>
                <w:sz w:val="22"/>
                <w:szCs w:val="22"/>
              </w:rPr>
              <w:t>应急锁密码盒</w:t>
            </w:r>
          </w:p>
        </w:tc>
        <w:tc>
          <w:tcPr>
            <w:tcW w:w="6299" w:type="dxa"/>
            <w:shd w:val="clear" w:color="auto" w:fill="auto"/>
            <w:vAlign w:val="center"/>
          </w:tcPr>
          <w:p w14:paraId="4DCAAE3F">
            <w:pPr>
              <w:widowControl/>
              <w:adjustRightInd w:val="0"/>
              <w:snapToGrid w:val="0"/>
              <w:spacing w:line="360" w:lineRule="auto"/>
              <w:rPr>
                <w:rFonts w:hint="eastAsia" w:ascii="微软雅黑" w:hAnsi="微软雅黑" w:eastAsia="微软雅黑" w:cs="微软雅黑"/>
                <w:kern w:val="0"/>
                <w:sz w:val="22"/>
                <w:szCs w:val="22"/>
              </w:rPr>
            </w:pPr>
            <w:r>
              <w:rPr>
                <w:rFonts w:hint="eastAsia" w:ascii="微软雅黑" w:hAnsi="微软雅黑" w:eastAsia="微软雅黑" w:cs="微软雅黑"/>
                <w:sz w:val="22"/>
                <w:szCs w:val="22"/>
              </w:rPr>
              <w:t>柜体配置壁挂式钥匙密码盒，用于存储应急钥匙，密码盒使用至少四位密码锁，防止撬动，紧急情况下可通过密码取出钥匙</w:t>
            </w:r>
          </w:p>
        </w:tc>
      </w:tr>
      <w:tr w14:paraId="3254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4B4340D1">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6E1A7919">
            <w:pPr>
              <w:adjustRightInd w:val="0"/>
              <w:snapToGrid w:val="0"/>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脚轮</w:t>
            </w:r>
          </w:p>
        </w:tc>
        <w:tc>
          <w:tcPr>
            <w:tcW w:w="6299" w:type="dxa"/>
            <w:shd w:val="clear" w:color="auto" w:fill="auto"/>
            <w:vAlign w:val="center"/>
          </w:tcPr>
          <w:p w14:paraId="08A4B8DC">
            <w:pPr>
              <w:widowControl/>
              <w:adjustRightInd w:val="0"/>
              <w:snapToGrid w:val="0"/>
              <w:spacing w:line="360" w:lineRule="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设备带有4个脚轮，可在需要的时候移动安装，移动到位后可锁定</w:t>
            </w:r>
          </w:p>
        </w:tc>
      </w:tr>
      <w:tr w14:paraId="253B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6E7E3A85">
            <w:pPr>
              <w:numPr>
                <w:ilvl w:val="0"/>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7B97E564">
            <w:pPr>
              <w:adjustRightInd w:val="0"/>
              <w:snapToGrid w:val="0"/>
              <w:spacing w:line="360" w:lineRule="auto"/>
              <w:jc w:val="center"/>
              <w:rPr>
                <w:rFonts w:hint="eastAsia" w:ascii="微软雅黑" w:hAnsi="微软雅黑" w:eastAsia="微软雅黑" w:cs="微软雅黑"/>
                <w:color w:val="0000FF"/>
                <w:sz w:val="22"/>
                <w:szCs w:val="22"/>
              </w:rPr>
            </w:pPr>
            <w:r>
              <w:rPr>
                <w:rFonts w:hint="eastAsia" w:ascii="微软雅黑" w:hAnsi="微软雅黑" w:eastAsia="微软雅黑" w:cs="微软雅黑"/>
                <w:bCs/>
                <w:sz w:val="22"/>
                <w:szCs w:val="22"/>
              </w:rPr>
              <w:t>质量安全</w:t>
            </w:r>
          </w:p>
        </w:tc>
        <w:tc>
          <w:tcPr>
            <w:tcW w:w="6299" w:type="dxa"/>
            <w:shd w:val="clear" w:color="auto" w:fill="auto"/>
            <w:vAlign w:val="center"/>
          </w:tcPr>
          <w:p w14:paraId="0D482EE2">
            <w:pPr>
              <w:adjustRightInd w:val="0"/>
              <w:snapToGrid w:val="0"/>
              <w:spacing w:line="360" w:lineRule="auto"/>
              <w:rPr>
                <w:rFonts w:hint="eastAsia" w:ascii="微软雅黑" w:hAnsi="微软雅黑" w:eastAsia="微软雅黑" w:cs="微软雅黑"/>
                <w:color w:val="0000FF"/>
                <w:kern w:val="0"/>
                <w:sz w:val="22"/>
                <w:szCs w:val="22"/>
              </w:rPr>
            </w:pPr>
            <w:r>
              <w:rPr>
                <w:rFonts w:hint="eastAsia" w:ascii="微软雅黑" w:hAnsi="微软雅黑" w:eastAsia="微软雅黑" w:cs="微软雅黑"/>
                <w:bCs/>
                <w:sz w:val="22"/>
                <w:szCs w:val="22"/>
              </w:rPr>
              <w:t>应保障耗材柜的整体良好质量安全</w:t>
            </w:r>
          </w:p>
        </w:tc>
      </w:tr>
    </w:tbl>
    <w:p w14:paraId="7005C390">
      <w:pPr>
        <w:adjustRightInd w:val="0"/>
        <w:snapToGrid w:val="0"/>
        <w:spacing w:line="360" w:lineRule="auto"/>
        <w:rPr>
          <w:rFonts w:hint="eastAsia" w:ascii="微软雅黑" w:hAnsi="微软雅黑" w:eastAsia="微软雅黑" w:cs="微软雅黑"/>
          <w:b/>
          <w:bCs/>
          <w:sz w:val="22"/>
          <w:szCs w:val="22"/>
        </w:rPr>
      </w:pPr>
    </w:p>
    <w:p w14:paraId="0CE46CCD">
      <w:pPr>
        <w:adjustRightInd w:val="0"/>
        <w:snapToGrid w:val="0"/>
        <w:spacing w:line="360" w:lineRule="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2、高值耗材管理辅柜参数要求</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74"/>
        <w:gridCol w:w="6291"/>
      </w:tblGrid>
      <w:tr w14:paraId="0864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322EA7A6">
            <w:pPr>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序号</w:t>
            </w:r>
          </w:p>
        </w:tc>
        <w:tc>
          <w:tcPr>
            <w:tcW w:w="1571" w:type="dxa"/>
            <w:shd w:val="clear" w:color="auto" w:fill="auto"/>
            <w:vAlign w:val="center"/>
          </w:tcPr>
          <w:p w14:paraId="42E26777">
            <w:pPr>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子项</w:t>
            </w:r>
          </w:p>
        </w:tc>
        <w:tc>
          <w:tcPr>
            <w:tcW w:w="6299" w:type="dxa"/>
            <w:shd w:val="clear" w:color="auto" w:fill="auto"/>
            <w:vAlign w:val="center"/>
          </w:tcPr>
          <w:p w14:paraId="02A82A1C">
            <w:pPr>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color w:val="000000"/>
                <w:sz w:val="22"/>
                <w:szCs w:val="22"/>
              </w:rPr>
              <w:t>技术参数要求</w:t>
            </w:r>
          </w:p>
        </w:tc>
      </w:tr>
      <w:tr w14:paraId="4681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035AD39D">
            <w:pPr>
              <w:numPr>
                <w:ilvl w:val="0"/>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4E74F056">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柜体结构部分</w:t>
            </w:r>
          </w:p>
        </w:tc>
        <w:tc>
          <w:tcPr>
            <w:tcW w:w="6299" w:type="dxa"/>
            <w:shd w:val="clear" w:color="auto" w:fill="auto"/>
            <w:vAlign w:val="center"/>
          </w:tcPr>
          <w:p w14:paraId="7734FAAB">
            <w:pPr>
              <w:widowControl/>
              <w:adjustRightInd w:val="0"/>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满足使用场景的空间要求和临床科室存量及管控要求</w:t>
            </w:r>
          </w:p>
        </w:tc>
      </w:tr>
      <w:tr w14:paraId="23A2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6E39D56A">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3BBD24C4">
            <w:pPr>
              <w:adjustRightInd w:val="0"/>
              <w:snapToGrid w:val="0"/>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sz w:val="22"/>
                <w:szCs w:val="22"/>
              </w:rPr>
              <w:t>外观尺寸</w:t>
            </w:r>
          </w:p>
        </w:tc>
        <w:tc>
          <w:tcPr>
            <w:tcW w:w="6299" w:type="dxa"/>
            <w:shd w:val="clear" w:color="auto" w:fill="auto"/>
            <w:vAlign w:val="center"/>
          </w:tcPr>
          <w:p w14:paraId="62384459">
            <w:pPr>
              <w:widowControl/>
              <w:adjustRightInd w:val="0"/>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sz w:val="22"/>
                <w:szCs w:val="22"/>
              </w:rPr>
              <w:t>考虑使用科室安装空间原因要求外观尺寸宽</w:t>
            </w:r>
            <w:r>
              <w:rPr>
                <w:rFonts w:hint="eastAsia" w:ascii="微软雅黑" w:hAnsi="微软雅黑" w:eastAsia="微软雅黑" w:cs="微软雅黑"/>
                <w:sz w:val="22"/>
                <w:szCs w:val="22"/>
                <w:lang w:bidi="ar"/>
              </w:rPr>
              <w:t>*深*高：710mm*650mm*1920mm</w:t>
            </w:r>
            <w:r>
              <w:rPr>
                <w:rFonts w:hint="eastAsia" w:ascii="微软雅黑" w:hAnsi="微软雅黑" w:eastAsia="微软雅黑" w:cs="微软雅黑"/>
                <w:sz w:val="22"/>
                <w:szCs w:val="22"/>
              </w:rPr>
              <w:t>，允许±100mm偏差</w:t>
            </w:r>
          </w:p>
        </w:tc>
      </w:tr>
      <w:tr w14:paraId="7E33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3F372E32">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42F3FD4B">
            <w:pPr>
              <w:adjustRightInd w:val="0"/>
              <w:snapToGrid w:val="0"/>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RFID性能</w:t>
            </w:r>
          </w:p>
        </w:tc>
        <w:tc>
          <w:tcPr>
            <w:tcW w:w="6299" w:type="dxa"/>
            <w:shd w:val="clear" w:color="auto" w:fill="auto"/>
            <w:vAlign w:val="center"/>
          </w:tcPr>
          <w:p w14:paraId="25490AE0">
            <w:pPr>
              <w:widowControl/>
              <w:adjustRightInd w:val="0"/>
              <w:snapToGrid w:val="0"/>
              <w:spacing w:line="360" w:lineRule="auto"/>
              <w:rPr>
                <w:rFonts w:hint="eastAsia" w:ascii="微软雅黑" w:hAnsi="微软雅黑" w:eastAsia="微软雅黑" w:cs="微软雅黑"/>
                <w:sz w:val="22"/>
                <w:szCs w:val="22"/>
                <w:lang w:bidi="ar"/>
              </w:rPr>
            </w:pPr>
            <w:r>
              <w:rPr>
                <w:rFonts w:hint="eastAsia" w:ascii="微软雅黑" w:hAnsi="微软雅黑" w:eastAsia="微软雅黑" w:cs="微软雅黑"/>
                <w:kern w:val="0"/>
                <w:sz w:val="22"/>
                <w:szCs w:val="22"/>
              </w:rPr>
              <w:t>最大耗材存放量≥300个，且最大量存储时准确率可达99.9%，主辅采用并联集成，增加辅柜不影响</w:t>
            </w:r>
            <w:r>
              <w:rPr>
                <w:rFonts w:hint="eastAsia" w:ascii="微软雅黑" w:hAnsi="微软雅黑" w:eastAsia="微软雅黑" w:cs="微软雅黑"/>
                <w:sz w:val="22"/>
                <w:szCs w:val="22"/>
              </w:rPr>
              <w:t>整体性</w:t>
            </w:r>
            <w:r>
              <w:rPr>
                <w:rFonts w:hint="eastAsia" w:ascii="微软雅黑" w:hAnsi="微软雅黑" w:eastAsia="微软雅黑" w:cs="微软雅黑"/>
                <w:kern w:val="0"/>
                <w:sz w:val="22"/>
                <w:szCs w:val="22"/>
              </w:rPr>
              <w:t>能，单柜盘点时间≤3S，整组柜的盘点时间≤5S</w:t>
            </w:r>
          </w:p>
        </w:tc>
      </w:tr>
      <w:tr w14:paraId="4AC1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48A2F49D">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0DBA894E">
            <w:pPr>
              <w:adjustRightInd w:val="0"/>
              <w:snapToGrid w:val="0"/>
              <w:spacing w:line="360" w:lineRule="auto"/>
              <w:jc w:val="center"/>
              <w:rPr>
                <w:rFonts w:hint="eastAsia" w:ascii="微软雅黑" w:hAnsi="微软雅黑" w:eastAsia="微软雅黑" w:cs="微软雅黑"/>
                <w:color w:val="0000FF"/>
                <w:sz w:val="22"/>
                <w:szCs w:val="22"/>
              </w:rPr>
            </w:pPr>
            <w:r>
              <w:rPr>
                <w:rFonts w:hint="eastAsia" w:ascii="微软雅黑" w:hAnsi="微软雅黑" w:eastAsia="微软雅黑" w:cs="微软雅黑"/>
                <w:sz w:val="22"/>
                <w:szCs w:val="22"/>
              </w:rPr>
              <w:t>柜灯</w:t>
            </w:r>
          </w:p>
        </w:tc>
        <w:tc>
          <w:tcPr>
            <w:tcW w:w="6299" w:type="dxa"/>
            <w:shd w:val="clear" w:color="auto" w:fill="auto"/>
            <w:vAlign w:val="center"/>
          </w:tcPr>
          <w:p w14:paraId="48323FAA">
            <w:pPr>
              <w:widowControl/>
              <w:adjustRightInd w:val="0"/>
              <w:snapToGrid w:val="0"/>
              <w:spacing w:line="360" w:lineRule="auto"/>
              <w:rPr>
                <w:rFonts w:hint="eastAsia" w:ascii="微软雅黑" w:hAnsi="微软雅黑" w:eastAsia="微软雅黑" w:cs="微软雅黑"/>
                <w:color w:val="0000FF"/>
                <w:kern w:val="0"/>
                <w:sz w:val="22"/>
                <w:szCs w:val="22"/>
              </w:rPr>
            </w:pPr>
            <w:r>
              <w:rPr>
                <w:rFonts w:hint="eastAsia" w:ascii="微软雅黑" w:hAnsi="微软雅黑" w:eastAsia="微软雅黑" w:cs="微软雅黑"/>
                <w:kern w:val="0"/>
                <w:sz w:val="22"/>
                <w:szCs w:val="22"/>
              </w:rPr>
              <w:t>配置柜内氛围灯，可清晰照明，同时查找耗材时可自动提示所在柜体</w:t>
            </w:r>
          </w:p>
        </w:tc>
      </w:tr>
      <w:tr w14:paraId="58FD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75AB0AD1">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40661582">
            <w:pPr>
              <w:adjustRightInd w:val="0"/>
              <w:snapToGrid w:val="0"/>
              <w:spacing w:line="360" w:lineRule="auto"/>
              <w:jc w:val="center"/>
              <w:rPr>
                <w:rFonts w:hint="eastAsia" w:ascii="微软雅黑" w:hAnsi="微软雅黑" w:eastAsia="微软雅黑" w:cs="微软雅黑"/>
                <w:color w:val="0000FF"/>
                <w:sz w:val="22"/>
                <w:szCs w:val="22"/>
              </w:rPr>
            </w:pPr>
            <w:r>
              <w:rPr>
                <w:rFonts w:hint="eastAsia" w:ascii="微软雅黑" w:hAnsi="微软雅黑" w:eastAsia="微软雅黑" w:cs="微软雅黑"/>
                <w:bCs/>
                <w:sz w:val="22"/>
                <w:szCs w:val="22"/>
              </w:rPr>
              <w:t>应急锁密码盒</w:t>
            </w:r>
          </w:p>
        </w:tc>
        <w:tc>
          <w:tcPr>
            <w:tcW w:w="6299" w:type="dxa"/>
            <w:shd w:val="clear" w:color="auto" w:fill="auto"/>
            <w:vAlign w:val="center"/>
          </w:tcPr>
          <w:p w14:paraId="2753E821">
            <w:pPr>
              <w:widowControl/>
              <w:adjustRightInd w:val="0"/>
              <w:snapToGrid w:val="0"/>
              <w:spacing w:line="360" w:lineRule="auto"/>
              <w:rPr>
                <w:rFonts w:hint="eastAsia" w:ascii="微软雅黑" w:hAnsi="微软雅黑" w:eastAsia="微软雅黑" w:cs="微软雅黑"/>
                <w:color w:val="0000FF"/>
                <w:kern w:val="0"/>
                <w:sz w:val="22"/>
                <w:szCs w:val="22"/>
              </w:rPr>
            </w:pPr>
            <w:r>
              <w:rPr>
                <w:rFonts w:hint="eastAsia" w:ascii="微软雅黑" w:hAnsi="微软雅黑" w:eastAsia="微软雅黑" w:cs="微软雅黑"/>
                <w:sz w:val="22"/>
                <w:szCs w:val="22"/>
              </w:rPr>
              <w:t>柜体配置壁挂式钥匙密码盒，用于存储应急钥匙，密码盒使用至少四位密码锁，防止撬动，紧急情况下可通过密码取出钥匙</w:t>
            </w:r>
          </w:p>
        </w:tc>
      </w:tr>
      <w:tr w14:paraId="6512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uto"/>
            <w:vAlign w:val="center"/>
          </w:tcPr>
          <w:p w14:paraId="7FF15D8E">
            <w:pPr>
              <w:numPr>
                <w:ilvl w:val="1"/>
                <w:numId w:val="7"/>
              </w:numPr>
              <w:adjustRightInd w:val="0"/>
              <w:snapToGrid w:val="0"/>
              <w:spacing w:line="360" w:lineRule="auto"/>
              <w:jc w:val="center"/>
              <w:rPr>
                <w:rFonts w:hint="eastAsia" w:ascii="微软雅黑" w:hAnsi="微软雅黑" w:eastAsia="微软雅黑" w:cs="微软雅黑"/>
                <w:sz w:val="22"/>
                <w:szCs w:val="22"/>
              </w:rPr>
            </w:pPr>
          </w:p>
        </w:tc>
        <w:tc>
          <w:tcPr>
            <w:tcW w:w="1571" w:type="dxa"/>
            <w:shd w:val="clear" w:color="auto" w:fill="auto"/>
            <w:vAlign w:val="center"/>
          </w:tcPr>
          <w:p w14:paraId="699F0C37">
            <w:pPr>
              <w:adjustRightInd w:val="0"/>
              <w:snapToGrid w:val="0"/>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脚轮</w:t>
            </w:r>
          </w:p>
        </w:tc>
        <w:tc>
          <w:tcPr>
            <w:tcW w:w="6299" w:type="dxa"/>
            <w:shd w:val="clear" w:color="auto" w:fill="auto"/>
            <w:vAlign w:val="center"/>
          </w:tcPr>
          <w:p w14:paraId="15A48F19">
            <w:pPr>
              <w:widowControl/>
              <w:adjustRightInd w:val="0"/>
              <w:snapToGrid w:val="0"/>
              <w:spacing w:line="360" w:lineRule="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设备带有4个脚轮，可在需要的时候移动安装，移动到位后可锁定</w:t>
            </w:r>
          </w:p>
        </w:tc>
      </w:tr>
    </w:tbl>
    <w:p w14:paraId="49E11A52">
      <w:pPr>
        <w:autoSpaceDE w:val="0"/>
        <w:autoSpaceDN w:val="0"/>
        <w:adjustRightInd w:val="0"/>
        <w:snapToGrid w:val="0"/>
        <w:spacing w:line="360" w:lineRule="auto"/>
        <w:jc w:val="left"/>
        <w:rPr>
          <w:rFonts w:hint="eastAsia" w:ascii="微软雅黑" w:hAnsi="微软雅黑" w:eastAsia="微软雅黑" w:cs="微软雅黑"/>
          <w:sz w:val="20"/>
          <w:szCs w:val="20"/>
        </w:rPr>
      </w:pPr>
    </w:p>
    <w:p w14:paraId="2C164724">
      <w:pPr>
        <w:autoSpaceDE w:val="0"/>
        <w:autoSpaceDN w:val="0"/>
        <w:adjustRightInd w:val="0"/>
        <w:snapToGrid w:val="0"/>
        <w:spacing w:line="360" w:lineRule="auto"/>
        <w:jc w:val="left"/>
        <w:rPr>
          <w:rFonts w:hint="eastAsia" w:ascii="微软雅黑" w:hAnsi="微软雅黑" w:eastAsia="微软雅黑" w:cs="微软雅黑"/>
          <w:sz w:val="20"/>
          <w:szCs w:val="20"/>
        </w:rPr>
      </w:pPr>
    </w:p>
    <w:p w14:paraId="2FC476DB">
      <w:pPr>
        <w:autoSpaceDE w:val="0"/>
        <w:autoSpaceDN w:val="0"/>
        <w:adjustRightInd w:val="0"/>
        <w:snapToGrid w:val="0"/>
        <w:spacing w:line="360" w:lineRule="auto"/>
        <w:jc w:val="left"/>
        <w:rPr>
          <w:rFonts w:hint="eastAsia" w:ascii="微软雅黑" w:hAnsi="微软雅黑" w:eastAsia="微软雅黑" w:cs="微软雅黑"/>
          <w:sz w:val="20"/>
          <w:szCs w:val="20"/>
        </w:rPr>
      </w:pPr>
    </w:p>
    <w:p w14:paraId="3B779882">
      <w:pPr>
        <w:spacing w:line="360" w:lineRule="exact"/>
        <w:rPr>
          <w:rFonts w:hint="eastAsia" w:ascii="微软雅黑" w:hAnsi="微软雅黑" w:eastAsia="微软雅黑" w:cs="微软雅黑"/>
          <w:b/>
          <w:sz w:val="24"/>
        </w:rPr>
      </w:pPr>
      <w:r>
        <w:rPr>
          <w:rFonts w:hint="eastAsia" w:ascii="微软雅黑" w:hAnsi="微软雅黑" w:eastAsia="微软雅黑" w:cs="微软雅黑"/>
          <w:b/>
          <w:sz w:val="24"/>
        </w:rPr>
        <w:t>六、商务要求</w:t>
      </w:r>
    </w:p>
    <w:p w14:paraId="76229574">
      <w:pPr>
        <w:spacing w:line="400" w:lineRule="exact"/>
        <w:rPr>
          <w:rFonts w:hint="eastAsia" w:ascii="微软雅黑" w:hAnsi="微软雅黑" w:eastAsia="微软雅黑" w:cs="微软雅黑"/>
          <w:b/>
          <w:kern w:val="0"/>
          <w:szCs w:val="21"/>
        </w:rPr>
      </w:pPr>
      <w:r>
        <w:rPr>
          <w:rFonts w:hint="eastAsia" w:ascii="微软雅黑" w:hAnsi="微软雅黑" w:eastAsia="微软雅黑" w:cs="微软雅黑"/>
          <w:b/>
          <w:kern w:val="0"/>
          <w:szCs w:val="21"/>
        </w:rPr>
        <w:t>6.1售后服务要求</w:t>
      </w:r>
    </w:p>
    <w:p w14:paraId="27CC885D">
      <w:pPr>
        <w:numPr>
          <w:ilvl w:val="0"/>
          <w:numId w:val="9"/>
        </w:num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送货上门，负责安装、调试合格</w:t>
      </w:r>
    </w:p>
    <w:p w14:paraId="6C983020">
      <w:pPr>
        <w:numPr>
          <w:ilvl w:val="0"/>
          <w:numId w:val="9"/>
        </w:num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能安排固定人员在医院进行质量跟踪服务。</w:t>
      </w:r>
    </w:p>
    <w:p w14:paraId="257B1B63">
      <w:pPr>
        <w:numPr>
          <w:ilvl w:val="0"/>
          <w:numId w:val="9"/>
        </w:num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提供现场技术培训，保证使用人员正常操作设备的各种功能，合同期内技术支持。</w:t>
      </w:r>
    </w:p>
    <w:p w14:paraId="7ED65DD5">
      <w:pPr>
        <w:spacing w:line="400" w:lineRule="exact"/>
        <w:rPr>
          <w:rFonts w:hint="eastAsia" w:ascii="微软雅黑" w:hAnsi="微软雅黑" w:eastAsia="微软雅黑" w:cs="微软雅黑"/>
          <w:b/>
          <w:kern w:val="0"/>
          <w:szCs w:val="21"/>
        </w:rPr>
      </w:pPr>
      <w:r>
        <w:rPr>
          <w:rFonts w:hint="eastAsia" w:ascii="微软雅黑" w:hAnsi="微软雅黑" w:eastAsia="微软雅黑" w:cs="微软雅黑"/>
          <w:b/>
          <w:kern w:val="0"/>
          <w:szCs w:val="21"/>
        </w:rPr>
        <w:t>6.2其他要求</w:t>
      </w:r>
    </w:p>
    <w:p w14:paraId="00DAAF6A">
      <w:pPr>
        <w:numPr>
          <w:ilvl w:val="0"/>
          <w:numId w:val="10"/>
        </w:numPr>
        <w:spacing w:line="400" w:lineRule="exact"/>
        <w:rPr>
          <w:rFonts w:hint="eastAsia" w:ascii="微软雅黑" w:hAnsi="微软雅黑" w:eastAsia="微软雅黑" w:cs="微软雅黑"/>
          <w:b/>
          <w:kern w:val="0"/>
          <w:szCs w:val="21"/>
        </w:rPr>
      </w:pPr>
      <w:r>
        <w:rPr>
          <w:rFonts w:hint="eastAsia" w:ascii="微软雅黑" w:hAnsi="微软雅黑" w:eastAsia="微软雅黑" w:cs="微软雅黑"/>
          <w:b/>
          <w:kern w:val="0"/>
          <w:szCs w:val="21"/>
        </w:rPr>
        <w:t>交付地点：广西壮族自治区南溪山医院</w:t>
      </w:r>
    </w:p>
    <w:p w14:paraId="608832DF">
      <w:pPr>
        <w:spacing w:line="400" w:lineRule="exact"/>
        <w:ind w:firstLine="420" w:firstLineChars="200"/>
        <w:rPr>
          <w:rFonts w:hint="eastAsia" w:ascii="微软雅黑" w:hAnsi="微软雅黑" w:eastAsia="微软雅黑" w:cs="微软雅黑"/>
          <w:b/>
          <w:kern w:val="0"/>
          <w:szCs w:val="21"/>
        </w:rPr>
      </w:pPr>
      <w:r>
        <w:rPr>
          <w:rFonts w:hint="eastAsia" w:ascii="微软雅黑" w:hAnsi="微软雅黑" w:eastAsia="微软雅黑" w:cs="微软雅黑"/>
          <w:b/>
          <w:kern w:val="0"/>
          <w:szCs w:val="21"/>
        </w:rPr>
        <w:t>2.交付时间：自合同签订后4个月内</w:t>
      </w:r>
    </w:p>
    <w:p w14:paraId="320E090F">
      <w:pPr>
        <w:spacing w:line="360" w:lineRule="exact"/>
        <w:ind w:left="425"/>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3.付款方式：本项目无预付款，项目建设正式使用后，采购人按三期支付给中标人，每年</w:t>
      </w:r>
      <w:r>
        <w:rPr>
          <w:rFonts w:hint="eastAsia" w:ascii="微软雅黑" w:hAnsi="微软雅黑" w:eastAsia="微软雅黑" w:cs="微软雅黑"/>
          <w:color w:val="000000" w:themeColor="text1"/>
          <w:szCs w:val="21"/>
          <w:lang w:val="en-US" w:eastAsia="zh-CN"/>
          <w14:textFill>
            <w14:solidFill>
              <w14:schemeClr w14:val="tx1"/>
            </w14:solidFill>
          </w14:textFill>
        </w:rPr>
        <w:t>支付一期费用</w:t>
      </w:r>
      <w:r>
        <w:rPr>
          <w:rFonts w:hint="eastAsia" w:ascii="微软雅黑" w:hAnsi="微软雅黑" w:eastAsia="微软雅黑" w:cs="微软雅黑"/>
          <w:color w:val="000000" w:themeColor="text1"/>
          <w:szCs w:val="21"/>
          <w14:textFill>
            <w14:solidFill>
              <w14:schemeClr w14:val="tx1"/>
            </w14:solidFill>
          </w14:textFill>
        </w:rPr>
        <w:t>。</w:t>
      </w:r>
      <w:bookmarkEnd w:id="17"/>
      <w:bookmarkEnd w:id="18"/>
      <w:bookmarkEnd w:id="19"/>
    </w:p>
    <w:p w14:paraId="186A4E2B">
      <w:pPr>
        <w:pStyle w:val="5"/>
        <w:snapToGrid w:val="0"/>
        <w:spacing w:before="120" w:after="120" w:line="320" w:lineRule="exact"/>
        <w:outlineLvl w:val="0"/>
        <w:rPr>
          <w:rFonts w:hint="eastAsia" w:ascii="微软雅黑" w:hAnsi="微软雅黑" w:eastAsia="微软雅黑" w:cs="微软雅黑"/>
          <w:b/>
          <w:bCs/>
          <w:sz w:val="32"/>
          <w:szCs w:val="32"/>
        </w:rPr>
      </w:pPr>
    </w:p>
    <w:p w14:paraId="37DB7A49">
      <w:pPr>
        <w:pStyle w:val="5"/>
        <w:snapToGrid w:val="0"/>
        <w:spacing w:before="120" w:after="120" w:line="320" w:lineRule="exact"/>
        <w:outlineLvl w:val="0"/>
        <w:rPr>
          <w:rFonts w:hint="eastAsia" w:ascii="微软雅黑" w:hAnsi="微软雅黑" w:eastAsia="微软雅黑" w:cs="微软雅黑"/>
          <w:b/>
          <w:bCs/>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899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096595"/>
    </w:sdtPr>
    <w:sdtContent>
      <w:p w14:paraId="46ED6E8F">
        <w:pPr>
          <w:pStyle w:val="6"/>
          <w:jc w:val="right"/>
        </w:pPr>
        <w:r>
          <w:fldChar w:fldCharType="begin"/>
        </w:r>
        <w:r>
          <w:instrText xml:space="preserve">PAGE   \* MERGEFORMAT</w:instrText>
        </w:r>
        <w:r>
          <w:fldChar w:fldCharType="separate"/>
        </w:r>
        <w:r>
          <w:rPr>
            <w:lang w:val="zh-CN"/>
          </w:rPr>
          <w:t>2</w:t>
        </w:r>
        <w:r>
          <w:fldChar w:fldCharType="end"/>
        </w:r>
      </w:p>
    </w:sdtContent>
  </w:sdt>
  <w:p w14:paraId="1DB74908">
    <w:pPr>
      <w:pStyle w:val="6"/>
      <w:tabs>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9007D"/>
    <w:multiLevelType w:val="singleLevel"/>
    <w:tmpl w:val="81E9007D"/>
    <w:lvl w:ilvl="0" w:tentative="0">
      <w:start w:val="1"/>
      <w:numFmt w:val="chineseCounting"/>
      <w:suff w:val="nothing"/>
      <w:lvlText w:val="%1、"/>
      <w:lvlJc w:val="left"/>
      <w:rPr>
        <w:rFonts w:hint="eastAsia"/>
      </w:rPr>
    </w:lvl>
  </w:abstractNum>
  <w:abstractNum w:abstractNumId="1">
    <w:nsid w:val="06B760E2"/>
    <w:multiLevelType w:val="multilevel"/>
    <w:tmpl w:val="06B760E2"/>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7E27F71"/>
    <w:multiLevelType w:val="multilevel"/>
    <w:tmpl w:val="17E27F71"/>
    <w:lvl w:ilvl="0" w:tentative="0">
      <w:start w:val="1"/>
      <w:numFmt w:val="decimal"/>
      <w:suff w:val="space"/>
      <w:lvlText w:val="%1."/>
      <w:lvlJc w:val="left"/>
      <w:pPr>
        <w:ind w:left="0" w:firstLine="425"/>
      </w:pPr>
      <w:rPr>
        <w:rFonts w:hint="eastAsia"/>
      </w:rPr>
    </w:lvl>
    <w:lvl w:ilvl="1" w:tentative="0">
      <w:start w:val="1"/>
      <w:numFmt w:val="decimalEnclosedCircle"/>
      <w:lvlText w:val="%2"/>
      <w:lvlJc w:val="left"/>
      <w:pPr>
        <w:ind w:left="1260" w:hanging="36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
    <w:nsid w:val="1BC75CB7"/>
    <w:multiLevelType w:val="multilevel"/>
    <w:tmpl w:val="1BC75CB7"/>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22B77D56"/>
    <w:multiLevelType w:val="multilevel"/>
    <w:tmpl w:val="22B77D56"/>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2EDE2B99"/>
    <w:multiLevelType w:val="multilevel"/>
    <w:tmpl w:val="2EDE2B99"/>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31A25BEA"/>
    <w:multiLevelType w:val="multilevel"/>
    <w:tmpl w:val="31A25BEA"/>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687985D9"/>
    <w:multiLevelType w:val="singleLevel"/>
    <w:tmpl w:val="687985D9"/>
    <w:lvl w:ilvl="0" w:tentative="0">
      <w:start w:val="1"/>
      <w:numFmt w:val="decimal"/>
      <w:suff w:val="nothing"/>
      <w:lvlText w:val="%1."/>
      <w:lvlJc w:val="left"/>
      <w:pPr>
        <w:ind w:left="420" w:firstLine="0"/>
      </w:pPr>
    </w:lvl>
  </w:abstractNum>
  <w:abstractNum w:abstractNumId="8">
    <w:nsid w:val="7CBEEBDD"/>
    <w:multiLevelType w:val="multilevel"/>
    <w:tmpl w:val="7CBEEBDD"/>
    <w:lvl w:ilvl="0" w:tentative="0">
      <w:start w:val="1"/>
      <w:numFmt w:val="decimal"/>
      <w:suff w:val="nothing"/>
      <w:lvlText w:val="%1"/>
      <w:lvlJc w:val="left"/>
      <w:pPr>
        <w:ind w:left="0" w:firstLine="0"/>
      </w:pPr>
      <w:rPr>
        <w:rFonts w:hint="default"/>
        <w:b w:val="0"/>
      </w:rPr>
    </w:lvl>
    <w:lvl w:ilvl="1" w:tentative="0">
      <w:start w:val="1"/>
      <w:numFmt w:val="decimal"/>
      <w:suff w:val="nothing"/>
      <w:lvlText w:val="%1.%2"/>
      <w:lvlJc w:val="left"/>
      <w:pPr>
        <w:ind w:left="0" w:firstLine="0"/>
      </w:pPr>
      <w:rPr>
        <w:rFonts w:hint="default"/>
        <w:b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7FCC06F1"/>
    <w:multiLevelType w:val="multilevel"/>
    <w:tmpl w:val="7FCC06F1"/>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9"/>
  </w:num>
  <w:num w:numId="3">
    <w:abstractNumId w:val="4"/>
  </w:num>
  <w:num w:numId="4">
    <w:abstractNumId w:val="6"/>
  </w:num>
  <w:num w:numId="5">
    <w:abstractNumId w:val="5"/>
  </w:num>
  <w:num w:numId="6">
    <w:abstractNumId w:val="3"/>
  </w:num>
  <w:num w:numId="7">
    <w:abstractNumId w:val="8"/>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lZjYyN2E2MTAxODRhMTQzYTYyMWVmMGUxNzFiMmYifQ=="/>
  </w:docVars>
  <w:rsids>
    <w:rsidRoot w:val="1DA002D4"/>
    <w:rsid w:val="0001202F"/>
    <w:rsid w:val="00020A97"/>
    <w:rsid w:val="00064E90"/>
    <w:rsid w:val="0008643C"/>
    <w:rsid w:val="000965B9"/>
    <w:rsid w:val="00151580"/>
    <w:rsid w:val="001664B4"/>
    <w:rsid w:val="00177B6C"/>
    <w:rsid w:val="001A18D0"/>
    <w:rsid w:val="001D47A7"/>
    <w:rsid w:val="001D63D2"/>
    <w:rsid w:val="001E3CE7"/>
    <w:rsid w:val="00261FC1"/>
    <w:rsid w:val="00272DDE"/>
    <w:rsid w:val="00280001"/>
    <w:rsid w:val="00290F52"/>
    <w:rsid w:val="00293A72"/>
    <w:rsid w:val="002D61E3"/>
    <w:rsid w:val="002F4943"/>
    <w:rsid w:val="00314A8F"/>
    <w:rsid w:val="00325A08"/>
    <w:rsid w:val="00364B12"/>
    <w:rsid w:val="003655AE"/>
    <w:rsid w:val="00386D2D"/>
    <w:rsid w:val="00394B04"/>
    <w:rsid w:val="003C1B56"/>
    <w:rsid w:val="0041306D"/>
    <w:rsid w:val="0042360E"/>
    <w:rsid w:val="0043405B"/>
    <w:rsid w:val="004572D4"/>
    <w:rsid w:val="004A4DC6"/>
    <w:rsid w:val="004B1402"/>
    <w:rsid w:val="004E4BAE"/>
    <w:rsid w:val="004E6355"/>
    <w:rsid w:val="004F535F"/>
    <w:rsid w:val="005042D7"/>
    <w:rsid w:val="005363D2"/>
    <w:rsid w:val="00554544"/>
    <w:rsid w:val="005C7982"/>
    <w:rsid w:val="005D0296"/>
    <w:rsid w:val="00604821"/>
    <w:rsid w:val="00605B24"/>
    <w:rsid w:val="00611E6E"/>
    <w:rsid w:val="00620DC1"/>
    <w:rsid w:val="00662083"/>
    <w:rsid w:val="006B1C86"/>
    <w:rsid w:val="006E1271"/>
    <w:rsid w:val="006E1BC4"/>
    <w:rsid w:val="007347D2"/>
    <w:rsid w:val="00761292"/>
    <w:rsid w:val="00777644"/>
    <w:rsid w:val="007C3018"/>
    <w:rsid w:val="007F3FC9"/>
    <w:rsid w:val="008045A1"/>
    <w:rsid w:val="00817C3A"/>
    <w:rsid w:val="008209F4"/>
    <w:rsid w:val="0083413D"/>
    <w:rsid w:val="00851763"/>
    <w:rsid w:val="0086393A"/>
    <w:rsid w:val="00864DE0"/>
    <w:rsid w:val="00875920"/>
    <w:rsid w:val="00921E57"/>
    <w:rsid w:val="00943724"/>
    <w:rsid w:val="009479C8"/>
    <w:rsid w:val="00976746"/>
    <w:rsid w:val="00983916"/>
    <w:rsid w:val="00983B96"/>
    <w:rsid w:val="00996396"/>
    <w:rsid w:val="009D4631"/>
    <w:rsid w:val="009E3A1C"/>
    <w:rsid w:val="00A23B81"/>
    <w:rsid w:val="00A50DDB"/>
    <w:rsid w:val="00A57A76"/>
    <w:rsid w:val="00A66EBA"/>
    <w:rsid w:val="00A80616"/>
    <w:rsid w:val="00AA4B26"/>
    <w:rsid w:val="00AD3319"/>
    <w:rsid w:val="00AF0C13"/>
    <w:rsid w:val="00B02DF1"/>
    <w:rsid w:val="00B1407E"/>
    <w:rsid w:val="00B173C0"/>
    <w:rsid w:val="00B2118E"/>
    <w:rsid w:val="00B242D1"/>
    <w:rsid w:val="00B54829"/>
    <w:rsid w:val="00B77E16"/>
    <w:rsid w:val="00C20D2D"/>
    <w:rsid w:val="00C24997"/>
    <w:rsid w:val="00C25512"/>
    <w:rsid w:val="00C5580C"/>
    <w:rsid w:val="00C73C6B"/>
    <w:rsid w:val="00CA1F54"/>
    <w:rsid w:val="00CE006C"/>
    <w:rsid w:val="00D32AAB"/>
    <w:rsid w:val="00D44D11"/>
    <w:rsid w:val="00D46345"/>
    <w:rsid w:val="00D47777"/>
    <w:rsid w:val="00D85962"/>
    <w:rsid w:val="00D94C8E"/>
    <w:rsid w:val="00D94E30"/>
    <w:rsid w:val="00D97439"/>
    <w:rsid w:val="00DA1385"/>
    <w:rsid w:val="00DB060E"/>
    <w:rsid w:val="00DB2C32"/>
    <w:rsid w:val="00DE2157"/>
    <w:rsid w:val="00DF4899"/>
    <w:rsid w:val="00DF4AEB"/>
    <w:rsid w:val="00E10716"/>
    <w:rsid w:val="00E12A75"/>
    <w:rsid w:val="00E42747"/>
    <w:rsid w:val="00E83E87"/>
    <w:rsid w:val="00E87880"/>
    <w:rsid w:val="00E9494A"/>
    <w:rsid w:val="00EC06A3"/>
    <w:rsid w:val="00EF4A13"/>
    <w:rsid w:val="00F023F1"/>
    <w:rsid w:val="00F04102"/>
    <w:rsid w:val="00F760AC"/>
    <w:rsid w:val="00FA37B1"/>
    <w:rsid w:val="00FB502D"/>
    <w:rsid w:val="00FD1A97"/>
    <w:rsid w:val="00FF0565"/>
    <w:rsid w:val="02083474"/>
    <w:rsid w:val="05B754F5"/>
    <w:rsid w:val="05D5065C"/>
    <w:rsid w:val="07090B84"/>
    <w:rsid w:val="087748E2"/>
    <w:rsid w:val="0ED13111"/>
    <w:rsid w:val="16B223C8"/>
    <w:rsid w:val="19DB5C40"/>
    <w:rsid w:val="1AC913AF"/>
    <w:rsid w:val="1DA002D4"/>
    <w:rsid w:val="1F7652AC"/>
    <w:rsid w:val="220F34C4"/>
    <w:rsid w:val="2652078E"/>
    <w:rsid w:val="27FC7EAE"/>
    <w:rsid w:val="2C53412A"/>
    <w:rsid w:val="2F3C583A"/>
    <w:rsid w:val="300C4B31"/>
    <w:rsid w:val="308B55FF"/>
    <w:rsid w:val="331719CF"/>
    <w:rsid w:val="34352275"/>
    <w:rsid w:val="34AA1FFC"/>
    <w:rsid w:val="35592615"/>
    <w:rsid w:val="397A1D08"/>
    <w:rsid w:val="3A37027A"/>
    <w:rsid w:val="3AEE274E"/>
    <w:rsid w:val="3D88619E"/>
    <w:rsid w:val="3DD844D6"/>
    <w:rsid w:val="3E8B451A"/>
    <w:rsid w:val="4125079D"/>
    <w:rsid w:val="45B345F4"/>
    <w:rsid w:val="484F6191"/>
    <w:rsid w:val="4B972070"/>
    <w:rsid w:val="4C9E0B94"/>
    <w:rsid w:val="4F5F24FB"/>
    <w:rsid w:val="572A655F"/>
    <w:rsid w:val="57E328CB"/>
    <w:rsid w:val="57E93FCF"/>
    <w:rsid w:val="58C17A25"/>
    <w:rsid w:val="59F0461E"/>
    <w:rsid w:val="5D39657D"/>
    <w:rsid w:val="5F013271"/>
    <w:rsid w:val="5F586378"/>
    <w:rsid w:val="62E52CA7"/>
    <w:rsid w:val="66091F81"/>
    <w:rsid w:val="681D48A0"/>
    <w:rsid w:val="698A6335"/>
    <w:rsid w:val="6BC371F3"/>
    <w:rsid w:val="6C1B7E4B"/>
    <w:rsid w:val="6D535020"/>
    <w:rsid w:val="6DD8201C"/>
    <w:rsid w:val="6E21153B"/>
    <w:rsid w:val="6EF0252C"/>
    <w:rsid w:val="74C35B21"/>
    <w:rsid w:val="74FF3488"/>
    <w:rsid w:val="75800992"/>
    <w:rsid w:val="7800281B"/>
    <w:rsid w:val="789214E0"/>
    <w:rsid w:val="7B6463D8"/>
    <w:rsid w:val="7FD7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qFormat/>
    <w:uiPriority w:val="0"/>
    <w:pPr>
      <w:keepNext/>
      <w:keepLines/>
      <w:spacing w:line="600" w:lineRule="exact"/>
      <w:ind w:firstLine="643" w:firstLineChars="200"/>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27"/>
    <w:qFormat/>
    <w:uiPriority w:val="99"/>
    <w:rPr>
      <w:rFonts w:ascii="宋体" w:hAnsi="Courier New" w:eastAsia="宋体" w:cs="Courier New"/>
      <w:szCs w:val="21"/>
    </w:rPr>
  </w:style>
  <w:style w:type="paragraph" w:styleId="6">
    <w:name w:val="footer"/>
    <w:basedOn w:val="1"/>
    <w:link w:val="26"/>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8398"/>
      </w:tabs>
      <w:ind w:firstLine="240" w:firstLineChars="100"/>
      <w:jc w:val="left"/>
    </w:pPr>
    <w:rPr>
      <w:rFonts w:ascii="宋体" w:hAnsi="宋体"/>
      <w:b/>
      <w:bCs/>
      <w:caps/>
      <w:sz w:val="24"/>
    </w:rPr>
  </w:style>
  <w:style w:type="paragraph" w:styleId="9">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10">
    <w:name w:val="index 1"/>
    <w:basedOn w:val="1"/>
    <w:next w:val="1"/>
    <w:qFormat/>
    <w:uiPriority w:val="0"/>
    <w:pPr>
      <w:spacing w:line="400" w:lineRule="exact"/>
      <w:ind w:firstLine="420" w:firstLineChars="200"/>
    </w:pPr>
    <w:rPr>
      <w:rFonts w:ascii="宋体" w:hAnsi="Courier New" w:eastAsia="宋体" w:cs="Times New Roman"/>
      <w:b/>
      <w:szCs w:val="20"/>
    </w:rPr>
  </w:style>
  <w:style w:type="paragraph" w:styleId="11">
    <w:name w:val="Title"/>
    <w:basedOn w:val="1"/>
    <w:next w:val="1"/>
    <w:link w:val="24"/>
    <w:qFormat/>
    <w:uiPriority w:val="0"/>
    <w:pPr>
      <w:spacing w:before="240" w:after="60"/>
      <w:jc w:val="center"/>
      <w:outlineLvl w:val="0"/>
    </w:pPr>
    <w:rPr>
      <w:rFonts w:asciiTheme="majorHAnsi" w:hAnsiTheme="majorHAnsi" w:eastAsiaTheme="majorEastAsia" w:cstheme="majorBidi"/>
      <w:b/>
      <w:bCs/>
      <w:sz w:val="32"/>
      <w:szCs w:val="32"/>
    </w:rPr>
  </w:style>
  <w:style w:type="table" w:styleId="13">
    <w:name w:val="Table Grid"/>
    <w:basedOn w:val="12"/>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paragraph" w:customStyle="1" w:styleId="18">
    <w:name w:val="方案正文"/>
    <w:basedOn w:val="1"/>
    <w:qFormat/>
    <w:uiPriority w:val="0"/>
    <w:pPr>
      <w:suppressAutoHyphens/>
      <w:spacing w:line="312" w:lineRule="auto"/>
      <w:ind w:firstLine="200"/>
    </w:pPr>
    <w:rPr>
      <w:rFonts w:eastAsia="Times New Roman"/>
      <w:kern w:val="1"/>
    </w:rPr>
  </w:style>
  <w:style w:type="paragraph" w:customStyle="1" w:styleId="19">
    <w:name w:val="列出段落1"/>
    <w:basedOn w:val="1"/>
    <w:qFormat/>
    <w:uiPriority w:val="0"/>
    <w:pPr>
      <w:ind w:firstLine="420" w:firstLineChars="200"/>
    </w:pPr>
    <w:rPr>
      <w:rFonts w:ascii="Calibri" w:hAnsi="Calibri"/>
    </w:rPr>
  </w:style>
  <w:style w:type="paragraph" w:styleId="20">
    <w:name w:val="List Paragraph"/>
    <w:basedOn w:val="1"/>
    <w:link w:val="21"/>
    <w:qFormat/>
    <w:uiPriority w:val="34"/>
    <w:pPr>
      <w:ind w:firstLine="420" w:firstLineChars="200"/>
    </w:pPr>
    <w:rPr>
      <w:rFonts w:ascii="Calibri" w:hAnsi="Calibri" w:eastAsia="宋体" w:cs="Times New Roman"/>
      <w:szCs w:val="22"/>
    </w:rPr>
  </w:style>
  <w:style w:type="character" w:customStyle="1" w:styleId="21">
    <w:name w:val="列表段落 字符"/>
    <w:link w:val="20"/>
    <w:qFormat/>
    <w:uiPriority w:val="34"/>
    <w:rPr>
      <w:rFonts w:ascii="Calibri" w:hAnsi="Calibri"/>
      <w:kern w:val="2"/>
      <w:sz w:val="21"/>
      <w:szCs w:val="22"/>
    </w:rPr>
  </w:style>
  <w:style w:type="character" w:customStyle="1" w:styleId="22">
    <w:name w:val="标题 3 字符"/>
    <w:basedOn w:val="14"/>
    <w:link w:val="3"/>
    <w:qFormat/>
    <w:uiPriority w:val="0"/>
    <w:rPr>
      <w:b/>
      <w:bCs/>
      <w:kern w:val="2"/>
      <w:sz w:val="32"/>
      <w:szCs w:val="32"/>
    </w:rPr>
  </w:style>
  <w:style w:type="paragraph" w:customStyle="1" w:styleId="23">
    <w:name w:val="Default"/>
    <w:basedOn w:val="11"/>
    <w:next w:val="2"/>
    <w:qFormat/>
    <w:uiPriority w:val="0"/>
    <w:pPr>
      <w:autoSpaceDE w:val="0"/>
      <w:autoSpaceDN w:val="0"/>
      <w:adjustRightInd w:val="0"/>
      <w:jc w:val="left"/>
    </w:pPr>
    <w:rPr>
      <w:rFonts w:ascii="Times New Roman" w:hAnsi="Times New Roman" w:eastAsia="宋体" w:cs="Times New Roman"/>
      <w:color w:val="000000"/>
      <w:kern w:val="0"/>
      <w:sz w:val="24"/>
      <w:szCs w:val="24"/>
    </w:rPr>
  </w:style>
  <w:style w:type="character" w:customStyle="1" w:styleId="24">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25">
    <w:name w:val="标题 1 字符"/>
    <w:basedOn w:val="14"/>
    <w:link w:val="2"/>
    <w:qFormat/>
    <w:uiPriority w:val="0"/>
    <w:rPr>
      <w:rFonts w:asciiTheme="minorHAnsi" w:hAnsiTheme="minorHAnsi" w:eastAsiaTheme="minorEastAsia" w:cstheme="minorBidi"/>
      <w:b/>
      <w:bCs/>
      <w:kern w:val="44"/>
      <w:sz w:val="44"/>
      <w:szCs w:val="44"/>
    </w:rPr>
  </w:style>
  <w:style w:type="character" w:customStyle="1" w:styleId="26">
    <w:name w:val="页脚 字符"/>
    <w:basedOn w:val="14"/>
    <w:link w:val="6"/>
    <w:qFormat/>
    <w:uiPriority w:val="99"/>
    <w:rPr>
      <w:rFonts w:asciiTheme="minorHAnsi" w:hAnsiTheme="minorHAnsi" w:eastAsiaTheme="minorEastAsia" w:cstheme="minorBidi"/>
      <w:kern w:val="2"/>
      <w:sz w:val="18"/>
      <w:szCs w:val="18"/>
    </w:rPr>
  </w:style>
  <w:style w:type="character" w:customStyle="1" w:styleId="27">
    <w:name w:val="纯文本 字符"/>
    <w:link w:val="5"/>
    <w:qFormat/>
    <w:uiPriority w:val="0"/>
    <w:rPr>
      <w:rFonts w:ascii="宋体" w:hAnsi="Courier New" w:cs="Courier New"/>
      <w:kern w:val="2"/>
      <w:sz w:val="21"/>
      <w:szCs w:val="21"/>
    </w:rPr>
  </w:style>
  <w:style w:type="character" w:customStyle="1" w:styleId="28">
    <w:name w:val="纯文本 字符1"/>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13</Pages>
  <Words>5946</Words>
  <Characters>6183</Characters>
  <Lines>44</Lines>
  <Paragraphs>12</Paragraphs>
  <TotalTime>70</TotalTime>
  <ScaleCrop>false</ScaleCrop>
  <LinksUpToDate>false</LinksUpToDate>
  <CharactersWithSpaces>6215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2024-02-22T06:22:00Z</dcterms:created>
  <dc:creator>旭</dc:creator>
  <cp:lastModifiedBy>CGZXB</cp:lastModifiedBy>
  <dcterms:modified xsi:type="dcterms:W3CDTF">2024-09-06T02:24:51Z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590FE603697246F6B00F89C5828133B8_13</vt:lpwstr>
  </property>
</Properties>
</file>