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2E6EC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评分标准</w:t>
      </w:r>
    </w:p>
    <w:tbl>
      <w:tblPr>
        <w:tblStyle w:val="2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364"/>
        <w:gridCol w:w="763"/>
        <w:gridCol w:w="6466"/>
      </w:tblGrid>
      <w:tr w14:paraId="475D1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8" w:type="pct"/>
            <w:noWrap w:val="0"/>
            <w:vAlign w:val="center"/>
          </w:tcPr>
          <w:p w14:paraId="1EF787C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51" w:type="pct"/>
            <w:noWrap w:val="0"/>
            <w:vAlign w:val="center"/>
          </w:tcPr>
          <w:p w14:paraId="4F57544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评分因素</w:t>
            </w:r>
          </w:p>
          <w:p w14:paraId="671A5B6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及权重</w:t>
            </w:r>
          </w:p>
        </w:tc>
        <w:tc>
          <w:tcPr>
            <w:tcW w:w="420" w:type="pct"/>
            <w:noWrap w:val="0"/>
            <w:vAlign w:val="center"/>
          </w:tcPr>
          <w:p w14:paraId="22C3F91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3560" w:type="pct"/>
            <w:noWrap w:val="0"/>
            <w:vAlign w:val="center"/>
          </w:tcPr>
          <w:p w14:paraId="45A1CD7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评分标准</w:t>
            </w:r>
          </w:p>
        </w:tc>
      </w:tr>
      <w:tr w14:paraId="3EE79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8" w:type="pct"/>
            <w:noWrap w:val="0"/>
            <w:vAlign w:val="center"/>
          </w:tcPr>
          <w:p w14:paraId="096FC19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51" w:type="pct"/>
            <w:noWrap w:val="0"/>
            <w:vAlign w:val="center"/>
          </w:tcPr>
          <w:p w14:paraId="5EF2DA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报价</w:t>
            </w:r>
          </w:p>
        </w:tc>
        <w:tc>
          <w:tcPr>
            <w:tcW w:w="420" w:type="pct"/>
            <w:noWrap w:val="0"/>
            <w:vAlign w:val="center"/>
          </w:tcPr>
          <w:p w14:paraId="635388D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30分</w:t>
            </w:r>
          </w:p>
        </w:tc>
        <w:tc>
          <w:tcPr>
            <w:tcW w:w="3560" w:type="pct"/>
            <w:noWrap w:val="0"/>
            <w:vAlign w:val="center"/>
          </w:tcPr>
          <w:p w14:paraId="49D2DF1C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以本次有效投标的最低投标报价为基准价，其价格分为满分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分。其它投标人的价格分统一按照以下公式计算： 投标报价得分=（评审基准价（最低供应商投标报价金额）／供应商的投标报价金额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分。</w:t>
            </w:r>
          </w:p>
        </w:tc>
      </w:tr>
      <w:tr w14:paraId="164F7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</w:trPr>
        <w:tc>
          <w:tcPr>
            <w:tcW w:w="268" w:type="pct"/>
            <w:noWrap w:val="0"/>
            <w:vAlign w:val="center"/>
          </w:tcPr>
          <w:p w14:paraId="75AE057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51" w:type="pct"/>
            <w:noWrap w:val="0"/>
            <w:vAlign w:val="center"/>
          </w:tcPr>
          <w:p w14:paraId="240F779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软件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技术指标</w:t>
            </w:r>
          </w:p>
        </w:tc>
        <w:tc>
          <w:tcPr>
            <w:tcW w:w="420" w:type="pct"/>
            <w:noWrap w:val="0"/>
            <w:vAlign w:val="center"/>
          </w:tcPr>
          <w:p w14:paraId="2778893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15分</w:t>
            </w:r>
          </w:p>
        </w:tc>
        <w:tc>
          <w:tcPr>
            <w:tcW w:w="3560" w:type="pct"/>
            <w:noWrap w:val="0"/>
            <w:vAlign w:val="center"/>
          </w:tcPr>
          <w:p w14:paraId="543492CE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完全符合招标文件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软件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技术要求的得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满分15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分；</w:t>
            </w:r>
          </w:p>
          <w:p w14:paraId="4E4DAD79"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软件加“▲”条款为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实质性条款要求，对比供应商投标文件中的响应材料进行审查，如供应商有其中任何一项实质性条款不满足要求，则视为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投标无效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。</w:t>
            </w:r>
          </w:p>
          <w:p w14:paraId="586BAFF6"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软件其他普通条款，与招标文件技术要求有负偏离的，一项扣1分，扣完为止。</w:t>
            </w:r>
          </w:p>
        </w:tc>
      </w:tr>
      <w:tr w14:paraId="7E8EB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268" w:type="pct"/>
            <w:noWrap w:val="0"/>
            <w:vAlign w:val="center"/>
          </w:tcPr>
          <w:p w14:paraId="2933D65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1" w:type="pct"/>
            <w:noWrap w:val="0"/>
            <w:vAlign w:val="center"/>
          </w:tcPr>
          <w:p w14:paraId="0A250299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演示分</w:t>
            </w:r>
          </w:p>
        </w:tc>
        <w:tc>
          <w:tcPr>
            <w:tcW w:w="420" w:type="pct"/>
            <w:noWrap w:val="0"/>
            <w:vAlign w:val="center"/>
          </w:tcPr>
          <w:p w14:paraId="681033BB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3560" w:type="pct"/>
            <w:noWrap w:val="0"/>
            <w:vAlign w:val="center"/>
          </w:tcPr>
          <w:p w14:paraId="015E5559"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sz w:val="24"/>
                <w:szCs w:val="24"/>
                <w:highlight w:val="none"/>
              </w:rPr>
              <w:t>现场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  <w:t>对系统功能需求的第12、13、14、20、21、32、33条逐一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sz w:val="24"/>
                <w:szCs w:val="24"/>
                <w:highlight w:val="none"/>
              </w:rPr>
              <w:t>演示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  <w:t>每完成一项演示得2分。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sz w:val="24"/>
                <w:szCs w:val="24"/>
                <w:highlight w:val="none"/>
              </w:rPr>
              <w:t>演示时间为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sz w:val="24"/>
                <w:szCs w:val="24"/>
                <w:highlight w:val="none"/>
              </w:rPr>
              <w:t>分钟内(含)，超出时间未演示部分，评分应视为该项未演示不得分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sz w:val="24"/>
                <w:szCs w:val="24"/>
                <w:highlight w:val="none"/>
              </w:rPr>
              <w:t>投标人需要自行准备演示环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境以及演示所需要的相关设备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</w:tc>
      </w:tr>
      <w:tr w14:paraId="54FE7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8" w:type="pct"/>
            <w:noWrap w:val="0"/>
            <w:vAlign w:val="center"/>
          </w:tcPr>
          <w:p w14:paraId="2A0722A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751" w:type="pct"/>
            <w:noWrap w:val="0"/>
            <w:vAlign w:val="center"/>
          </w:tcPr>
          <w:p w14:paraId="02F9E9E0">
            <w:pPr>
              <w:spacing w:before="31" w:beforeLines="10" w:after="31" w:afterLines="10"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系统设计</w:t>
            </w:r>
          </w:p>
          <w:p w14:paraId="08A228F3">
            <w:pPr>
              <w:spacing w:before="31" w:beforeLines="10" w:after="31" w:afterLines="1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方案</w:t>
            </w:r>
          </w:p>
        </w:tc>
        <w:tc>
          <w:tcPr>
            <w:tcW w:w="420" w:type="pct"/>
            <w:noWrap w:val="0"/>
            <w:vAlign w:val="center"/>
          </w:tcPr>
          <w:p w14:paraId="7ACE4D4C">
            <w:pPr>
              <w:pStyle w:val="32"/>
              <w:spacing w:before="31" w:after="31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14分</w:t>
            </w:r>
          </w:p>
        </w:tc>
        <w:tc>
          <w:tcPr>
            <w:tcW w:w="3560" w:type="pct"/>
            <w:noWrap w:val="0"/>
            <w:vAlign w:val="center"/>
          </w:tcPr>
          <w:p w14:paraId="4E09A100"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根据投标供应商对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本次招标需求的理解程度、针对本项目提交的系统设计方案，可视化设计及效果、各系统功能应用与对接程度、功能设计科学性、操作便利性等方面综合评分。</w:t>
            </w:r>
          </w:p>
          <w:p w14:paraId="4F8EE3BC"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一档（2分）：系统功能可视化设计及效果、各系统功能应用与对接程度、功能设计科学性、操作便利性等方面综合评定一般的；</w:t>
            </w:r>
          </w:p>
          <w:p w14:paraId="1A128DC2"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二档（8分）：系统功能可视化设计及效果、各系统功能应用与对接程度、功能设计科学性、操作便利性等方面综合评定良好的；</w:t>
            </w:r>
          </w:p>
          <w:p w14:paraId="65F244DA">
            <w:pPr>
              <w:spacing w:line="360" w:lineRule="auto"/>
              <w:ind w:firstLine="48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三档（14分）：系统功能可视化设计及效果、各系统功能应用与对接程度、功能设计科学性、操作便利性等方面综合评定优秀的；</w:t>
            </w:r>
          </w:p>
        </w:tc>
      </w:tr>
      <w:tr w14:paraId="7C039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8" w:type="pct"/>
            <w:shd w:val="clear" w:color="auto" w:fill="auto"/>
            <w:noWrap w:val="0"/>
            <w:vAlign w:val="center"/>
          </w:tcPr>
          <w:p w14:paraId="1FE96BA3">
            <w:pPr>
              <w:spacing w:line="360" w:lineRule="auto"/>
              <w:jc w:val="center"/>
              <w:rPr>
                <w:rFonts w:hint="eastAsia" w:ascii="宋体" w:hAnsi="宋体" w:eastAsia="宋体" w:cs="宋体"/>
                <w:strike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trike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751" w:type="pct"/>
            <w:noWrap w:val="0"/>
            <w:vAlign w:val="center"/>
          </w:tcPr>
          <w:p w14:paraId="3B4772C2">
            <w:pPr>
              <w:spacing w:line="360" w:lineRule="auto"/>
              <w:jc w:val="center"/>
              <w:rPr>
                <w:rFonts w:hint="eastAsia" w:ascii="宋体" w:hAnsi="宋体" w:eastAsia="宋体" w:cs="宋体"/>
                <w:strike/>
                <w:dstrike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能力</w:t>
            </w:r>
          </w:p>
        </w:tc>
        <w:tc>
          <w:tcPr>
            <w:tcW w:w="420" w:type="pct"/>
            <w:noWrap w:val="0"/>
            <w:vAlign w:val="center"/>
          </w:tcPr>
          <w:p w14:paraId="768A7C03">
            <w:pPr>
              <w:spacing w:line="360" w:lineRule="auto"/>
              <w:jc w:val="center"/>
              <w:rPr>
                <w:rFonts w:hint="eastAsia" w:ascii="宋体" w:hAnsi="宋体" w:eastAsia="宋体" w:cs="宋体"/>
                <w:strike/>
                <w:dstrike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  <w:t>4分</w:t>
            </w:r>
          </w:p>
        </w:tc>
        <w:tc>
          <w:tcPr>
            <w:tcW w:w="3560" w:type="pct"/>
            <w:noWrap w:val="0"/>
            <w:vAlign w:val="center"/>
          </w:tcPr>
          <w:p w14:paraId="51A02C3D">
            <w:pPr>
              <w:pStyle w:val="34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提供以下著作权文件，每提供一份得0.5分</w:t>
            </w:r>
          </w:p>
          <w:p w14:paraId="44F7B9B9">
            <w:pPr>
              <w:pStyle w:val="34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重症监护医嘱处理信息系统著作权证明文件。</w:t>
            </w:r>
          </w:p>
          <w:p w14:paraId="4409C61A">
            <w:pPr>
              <w:pStyle w:val="34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ECMO转运平台著作权证明文件。</w:t>
            </w:r>
          </w:p>
          <w:p w14:paraId="7EE53EE6">
            <w:pPr>
              <w:pStyle w:val="34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重症护理评估信息管理系统著作权证明文件。</w:t>
            </w:r>
          </w:p>
          <w:p w14:paraId="38724419">
            <w:pPr>
              <w:pStyle w:val="34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重症监护液体平衡智能管理系统著作权证明文件。</w:t>
            </w:r>
          </w:p>
          <w:p w14:paraId="3CA920A0">
            <w:pPr>
              <w:pStyle w:val="34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重症监护死亡预测预警系统著作权证明文件。</w:t>
            </w:r>
          </w:p>
          <w:p w14:paraId="48D2C06B">
            <w:pPr>
              <w:pStyle w:val="34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集束化治疗管理系统著作权证明文件。</w:t>
            </w:r>
          </w:p>
          <w:p w14:paraId="65650FD7">
            <w:pPr>
              <w:pStyle w:val="34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重症三管监测信息管理系统著作权证明文件。</w:t>
            </w:r>
          </w:p>
          <w:p w14:paraId="5CBE5295">
            <w:pPr>
              <w:pStyle w:val="34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trike/>
                <w:dstrike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重症医学知识库管理系统著作权证明文件。</w:t>
            </w:r>
          </w:p>
        </w:tc>
      </w:tr>
      <w:tr w14:paraId="78C32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8" w:type="pct"/>
            <w:shd w:val="clear" w:color="auto" w:fill="auto"/>
            <w:noWrap w:val="0"/>
            <w:vAlign w:val="center"/>
          </w:tcPr>
          <w:p w14:paraId="36C2243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751" w:type="pct"/>
            <w:noWrap w:val="0"/>
            <w:vAlign w:val="center"/>
          </w:tcPr>
          <w:p w14:paraId="3B6147E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履约能力</w:t>
            </w:r>
          </w:p>
        </w:tc>
        <w:tc>
          <w:tcPr>
            <w:tcW w:w="420" w:type="pct"/>
            <w:noWrap w:val="0"/>
            <w:vAlign w:val="center"/>
          </w:tcPr>
          <w:p w14:paraId="5BF186D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4分</w:t>
            </w:r>
          </w:p>
        </w:tc>
        <w:tc>
          <w:tcPr>
            <w:tcW w:w="3560" w:type="pct"/>
            <w:noWrap w:val="0"/>
            <w:vAlign w:val="center"/>
          </w:tcPr>
          <w:p w14:paraId="46B8DCF2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提供投标人或投标产品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的生产厂商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月1日以来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所投系统相关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业绩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每提供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一个相关业绩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分，最多得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分(提供合同关键页复印件并加盖投标人公章)；</w:t>
            </w:r>
          </w:p>
        </w:tc>
      </w:tr>
      <w:tr w14:paraId="6D98D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8" w:type="pct"/>
            <w:shd w:val="clear" w:color="auto" w:fill="auto"/>
            <w:noWrap w:val="0"/>
            <w:vAlign w:val="center"/>
          </w:tcPr>
          <w:p w14:paraId="59AE359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751" w:type="pct"/>
            <w:noWrap w:val="0"/>
            <w:vAlign w:val="center"/>
          </w:tcPr>
          <w:p w14:paraId="6E403AF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实施方案</w:t>
            </w:r>
          </w:p>
        </w:tc>
        <w:tc>
          <w:tcPr>
            <w:tcW w:w="420" w:type="pct"/>
            <w:noWrap w:val="0"/>
            <w:vAlign w:val="center"/>
          </w:tcPr>
          <w:p w14:paraId="3F986AA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7分</w:t>
            </w:r>
          </w:p>
        </w:tc>
        <w:tc>
          <w:tcPr>
            <w:tcW w:w="3560" w:type="pct"/>
            <w:noWrap w:val="0"/>
            <w:vAlign w:val="center"/>
          </w:tcPr>
          <w:p w14:paraId="3726E6AE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实施方案不全面，进度安排、组织架构不合理，没有进度控制、风险控制管理、质量保障措施、信息安全管理措施、文档管理措施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方案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整体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可行性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不足。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分。</w:t>
            </w:r>
          </w:p>
          <w:p w14:paraId="5132A01A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实施方案不够全面，进度安排、组织架构不够合理，进度控制、风险控制管理、质量保障措施、信息安全管理措施、文档管理措施不全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但是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实施工作日程及时间进度安排符合本项目进度要求，方案整体具有一定的可行性。得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分；</w:t>
            </w:r>
          </w:p>
          <w:p w14:paraId="10F5D4E5">
            <w:pPr>
              <w:spacing w:line="360" w:lineRule="auto"/>
              <w:ind w:firstLine="48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实施方案全面，具有合理的进度安排、组织架构，具有良好的进度控制、风险控制管理、质量保障措施、信息安全管理措施、文档管理措施，实施工作日程及时间进度安排合理可行，能有效保证项目进度和质量要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方案整体可行性、针对性强，对项目实施能起到有利的保障作用得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分；</w:t>
            </w:r>
          </w:p>
        </w:tc>
      </w:tr>
      <w:tr w14:paraId="2AC10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8" w:type="pct"/>
            <w:shd w:val="clear" w:color="auto" w:fill="auto"/>
            <w:noWrap w:val="0"/>
            <w:vAlign w:val="center"/>
          </w:tcPr>
          <w:p w14:paraId="2AFD071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751" w:type="pct"/>
            <w:noWrap w:val="0"/>
            <w:vAlign w:val="center"/>
          </w:tcPr>
          <w:p w14:paraId="1A93AF3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售后服务方案</w:t>
            </w:r>
          </w:p>
          <w:p w14:paraId="143CDB74">
            <w:pPr>
              <w:pStyle w:val="15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20" w:type="pct"/>
            <w:noWrap w:val="0"/>
            <w:vAlign w:val="center"/>
          </w:tcPr>
          <w:p w14:paraId="361F74E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7分</w:t>
            </w:r>
          </w:p>
        </w:tc>
        <w:tc>
          <w:tcPr>
            <w:tcW w:w="3560" w:type="pct"/>
            <w:noWrap w:val="0"/>
            <w:vAlign w:val="center"/>
          </w:tcPr>
          <w:p w14:paraId="183DEFDE">
            <w:pPr>
              <w:widowControl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不提供售后服务方案，得0分。</w:t>
            </w:r>
          </w:p>
          <w:p w14:paraId="7351A988">
            <w:pPr>
              <w:widowControl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售后服务方案较片面，服务流程及内容空洞或欠缺，响应时间缓慢，服务人员匹配欠缺，得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分。</w:t>
            </w:r>
          </w:p>
          <w:p w14:paraId="2D646D1D">
            <w:pPr>
              <w:widowControl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售后服务方案较全面，有基本服务流程及内容，响应时间较为迅速，服务人员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</w:rPr>
              <w:t>&lt;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提供7×24服务热线。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分。</w:t>
            </w:r>
          </w:p>
          <w:p w14:paraId="6250F3B9">
            <w:pPr>
              <w:widowControl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售后服务方案全面合理，服务流程及内容具体，响应时间迅速，服务人员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≥3人，其中至少1人具备高级工程师职称,提供7×24服务热线。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分。</w:t>
            </w:r>
          </w:p>
        </w:tc>
      </w:tr>
      <w:tr w14:paraId="66204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8" w:type="pct"/>
            <w:shd w:val="clear" w:color="auto" w:fill="auto"/>
            <w:noWrap w:val="0"/>
            <w:vAlign w:val="center"/>
          </w:tcPr>
          <w:p w14:paraId="1E0210A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751" w:type="pct"/>
            <w:noWrap w:val="0"/>
            <w:vAlign w:val="center"/>
          </w:tcPr>
          <w:p w14:paraId="57FA826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培训方案</w:t>
            </w:r>
          </w:p>
        </w:tc>
        <w:tc>
          <w:tcPr>
            <w:tcW w:w="420" w:type="pct"/>
            <w:noWrap w:val="0"/>
            <w:vAlign w:val="center"/>
          </w:tcPr>
          <w:p w14:paraId="5FA2328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分</w:t>
            </w:r>
          </w:p>
        </w:tc>
        <w:tc>
          <w:tcPr>
            <w:tcW w:w="3560" w:type="pct"/>
            <w:noWrap w:val="0"/>
            <w:vAlign w:val="center"/>
          </w:tcPr>
          <w:p w14:paraId="5EBCABF4">
            <w:pPr>
              <w:widowControl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不提供培训方案，得0分。</w:t>
            </w:r>
          </w:p>
          <w:p w14:paraId="5CD08F14">
            <w:pPr>
              <w:widowControl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培训方案片面，不具有执行有效性，培训计划、培训师资力量、培训内容不详细，得1分。</w:t>
            </w:r>
          </w:p>
          <w:p w14:paraId="4D685F80">
            <w:pPr>
              <w:widowControl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培训方案不够全面，有效性欠缺，培训计划、培训师资力量、培训内容不够详细，得3分。</w:t>
            </w:r>
          </w:p>
          <w:p w14:paraId="0E1D4BAD">
            <w:pPr>
              <w:widowControl/>
              <w:spacing w:line="360" w:lineRule="auto"/>
              <w:ind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培训方案全面合理有效，具有详细的培训计划、培训形式、培训内容，得5分</w:t>
            </w:r>
          </w:p>
        </w:tc>
      </w:tr>
    </w:tbl>
    <w:p w14:paraId="2A3595BB">
      <w:pPr>
        <w:rPr>
          <w:rFonts w:hint="eastAsia"/>
          <w:lang w:val="en-US" w:eastAsia="zh-CN"/>
        </w:rPr>
      </w:pPr>
    </w:p>
    <w:p w14:paraId="3F550B86"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7DF79"/>
    <w:multiLevelType w:val="multilevel"/>
    <w:tmpl w:val="07B7DF79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3F3A5839"/>
    <w:multiLevelType w:val="multilevel"/>
    <w:tmpl w:val="3F3A5839"/>
    <w:lvl w:ilvl="0" w:tentative="0">
      <w:start w:val="1"/>
      <w:numFmt w:val="bullet"/>
      <w:pStyle w:val="34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4"/>
      <w:numFmt w:val="bullet"/>
      <w:lvlText w:val="★"/>
      <w:lvlJc w:val="left"/>
      <w:pPr>
        <w:ind w:left="780" w:hanging="360"/>
      </w:pPr>
      <w:rPr>
        <w:rFonts w:hint="eastAsia" w:ascii="等线" w:hAnsi="等线" w:eastAsia="等线" w:cstheme="minorBidi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ZTZhYzhhZWNmMjRiYjk1OGRmYTJjMjU2MmI4MTEifQ=="/>
  </w:docVars>
  <w:rsids>
    <w:rsidRoot w:val="5FD63F26"/>
    <w:rsid w:val="003829E8"/>
    <w:rsid w:val="00B52945"/>
    <w:rsid w:val="01CD1A52"/>
    <w:rsid w:val="02985DC6"/>
    <w:rsid w:val="02D14DBD"/>
    <w:rsid w:val="02E334E5"/>
    <w:rsid w:val="040F20B8"/>
    <w:rsid w:val="04673CA2"/>
    <w:rsid w:val="049F111B"/>
    <w:rsid w:val="04BB20B2"/>
    <w:rsid w:val="05552F27"/>
    <w:rsid w:val="067A5F0E"/>
    <w:rsid w:val="06A42F8B"/>
    <w:rsid w:val="06B72F13"/>
    <w:rsid w:val="06C6369E"/>
    <w:rsid w:val="06FD02D1"/>
    <w:rsid w:val="077F3443"/>
    <w:rsid w:val="083A17A7"/>
    <w:rsid w:val="08A66647"/>
    <w:rsid w:val="090E6DE2"/>
    <w:rsid w:val="098E205C"/>
    <w:rsid w:val="09D973F0"/>
    <w:rsid w:val="0A2F0DBE"/>
    <w:rsid w:val="0B462863"/>
    <w:rsid w:val="0B7578F1"/>
    <w:rsid w:val="0BD219A3"/>
    <w:rsid w:val="0CA57A5D"/>
    <w:rsid w:val="0D592469"/>
    <w:rsid w:val="0D833496"/>
    <w:rsid w:val="0DB8731C"/>
    <w:rsid w:val="0DBA0795"/>
    <w:rsid w:val="0DD423A8"/>
    <w:rsid w:val="0DD71E98"/>
    <w:rsid w:val="0E1D2513"/>
    <w:rsid w:val="0F6C03BE"/>
    <w:rsid w:val="0FB0017D"/>
    <w:rsid w:val="102C57BC"/>
    <w:rsid w:val="1034712E"/>
    <w:rsid w:val="104110A2"/>
    <w:rsid w:val="105F7F23"/>
    <w:rsid w:val="106A0DA2"/>
    <w:rsid w:val="10B75766"/>
    <w:rsid w:val="10E54CB1"/>
    <w:rsid w:val="113557A0"/>
    <w:rsid w:val="116479BD"/>
    <w:rsid w:val="11AC7198"/>
    <w:rsid w:val="128A6758"/>
    <w:rsid w:val="12DD2E9C"/>
    <w:rsid w:val="12FE1C75"/>
    <w:rsid w:val="14201155"/>
    <w:rsid w:val="1481490C"/>
    <w:rsid w:val="14821FFD"/>
    <w:rsid w:val="14972381"/>
    <w:rsid w:val="14B37DF4"/>
    <w:rsid w:val="14EA03A4"/>
    <w:rsid w:val="14F046B4"/>
    <w:rsid w:val="14FA5B6D"/>
    <w:rsid w:val="150A49B0"/>
    <w:rsid w:val="15212DD1"/>
    <w:rsid w:val="159B19FD"/>
    <w:rsid w:val="15C93DD3"/>
    <w:rsid w:val="162A1240"/>
    <w:rsid w:val="16587A83"/>
    <w:rsid w:val="170B008B"/>
    <w:rsid w:val="18540479"/>
    <w:rsid w:val="18645AAB"/>
    <w:rsid w:val="18BF3C55"/>
    <w:rsid w:val="191A0E8B"/>
    <w:rsid w:val="194303E2"/>
    <w:rsid w:val="19FB6F5C"/>
    <w:rsid w:val="1A5403CD"/>
    <w:rsid w:val="1A9D1D74"/>
    <w:rsid w:val="1AD67034"/>
    <w:rsid w:val="1BDC68CC"/>
    <w:rsid w:val="1BE40536"/>
    <w:rsid w:val="1C9964DB"/>
    <w:rsid w:val="1CAC629E"/>
    <w:rsid w:val="1CCE26B8"/>
    <w:rsid w:val="1CD64E0A"/>
    <w:rsid w:val="1D0B1253"/>
    <w:rsid w:val="1D7373F4"/>
    <w:rsid w:val="1DAA4ED3"/>
    <w:rsid w:val="1E5037DD"/>
    <w:rsid w:val="1ECE074D"/>
    <w:rsid w:val="1EDA17E8"/>
    <w:rsid w:val="1EE609E9"/>
    <w:rsid w:val="1F530C80"/>
    <w:rsid w:val="1F8D23B7"/>
    <w:rsid w:val="201670BB"/>
    <w:rsid w:val="202D3B9A"/>
    <w:rsid w:val="20902FBB"/>
    <w:rsid w:val="20B6593D"/>
    <w:rsid w:val="20C9186A"/>
    <w:rsid w:val="20F65942"/>
    <w:rsid w:val="21020457"/>
    <w:rsid w:val="21631FEC"/>
    <w:rsid w:val="222F1432"/>
    <w:rsid w:val="22560349"/>
    <w:rsid w:val="22FD3C5B"/>
    <w:rsid w:val="232B2612"/>
    <w:rsid w:val="23334716"/>
    <w:rsid w:val="23B343B6"/>
    <w:rsid w:val="242E1C8E"/>
    <w:rsid w:val="24FD1914"/>
    <w:rsid w:val="2532293B"/>
    <w:rsid w:val="25513E86"/>
    <w:rsid w:val="258E0C37"/>
    <w:rsid w:val="25CE49B7"/>
    <w:rsid w:val="26061E4F"/>
    <w:rsid w:val="26580604"/>
    <w:rsid w:val="26A36964"/>
    <w:rsid w:val="26B11081"/>
    <w:rsid w:val="26CF27D5"/>
    <w:rsid w:val="27056988"/>
    <w:rsid w:val="274C0A38"/>
    <w:rsid w:val="275F60A8"/>
    <w:rsid w:val="27602AA7"/>
    <w:rsid w:val="27C941A8"/>
    <w:rsid w:val="27FC457D"/>
    <w:rsid w:val="281C3290"/>
    <w:rsid w:val="281D275D"/>
    <w:rsid w:val="28373807"/>
    <w:rsid w:val="28852F65"/>
    <w:rsid w:val="28A53E7E"/>
    <w:rsid w:val="298C7B83"/>
    <w:rsid w:val="2A1D1C73"/>
    <w:rsid w:val="2A306760"/>
    <w:rsid w:val="2A3111C7"/>
    <w:rsid w:val="2A5A1A2F"/>
    <w:rsid w:val="2A8557B7"/>
    <w:rsid w:val="2A8F3F7A"/>
    <w:rsid w:val="2B0F45C8"/>
    <w:rsid w:val="2B4B6FA4"/>
    <w:rsid w:val="2B794137"/>
    <w:rsid w:val="2BFF288E"/>
    <w:rsid w:val="2C070BB0"/>
    <w:rsid w:val="2CA25CFF"/>
    <w:rsid w:val="2D092ECE"/>
    <w:rsid w:val="2D744BB6"/>
    <w:rsid w:val="2E272F5B"/>
    <w:rsid w:val="2E55021D"/>
    <w:rsid w:val="2EBD52C4"/>
    <w:rsid w:val="2EC542EB"/>
    <w:rsid w:val="2FBB4D1E"/>
    <w:rsid w:val="2FFD4C36"/>
    <w:rsid w:val="30087837"/>
    <w:rsid w:val="301A71E6"/>
    <w:rsid w:val="302A3C52"/>
    <w:rsid w:val="30F05E96"/>
    <w:rsid w:val="315C7E3B"/>
    <w:rsid w:val="317B6345"/>
    <w:rsid w:val="31BD2715"/>
    <w:rsid w:val="31FC6BDD"/>
    <w:rsid w:val="32742D06"/>
    <w:rsid w:val="32E4633A"/>
    <w:rsid w:val="32F23A6B"/>
    <w:rsid w:val="32FA23CE"/>
    <w:rsid w:val="33642D2B"/>
    <w:rsid w:val="337464D0"/>
    <w:rsid w:val="33A31D51"/>
    <w:rsid w:val="34091EE4"/>
    <w:rsid w:val="3421032D"/>
    <w:rsid w:val="34637732"/>
    <w:rsid w:val="350D5762"/>
    <w:rsid w:val="35234E2B"/>
    <w:rsid w:val="356053EC"/>
    <w:rsid w:val="35DE4B4A"/>
    <w:rsid w:val="36562C49"/>
    <w:rsid w:val="36FE3EA5"/>
    <w:rsid w:val="36FF0135"/>
    <w:rsid w:val="37144D14"/>
    <w:rsid w:val="37265173"/>
    <w:rsid w:val="376C3BA4"/>
    <w:rsid w:val="378B3228"/>
    <w:rsid w:val="37F86D1E"/>
    <w:rsid w:val="380E107B"/>
    <w:rsid w:val="382B726C"/>
    <w:rsid w:val="38966328"/>
    <w:rsid w:val="38C045B2"/>
    <w:rsid w:val="3922196A"/>
    <w:rsid w:val="39B6224D"/>
    <w:rsid w:val="3A3079D9"/>
    <w:rsid w:val="3A361B71"/>
    <w:rsid w:val="3A4412D4"/>
    <w:rsid w:val="3A816B64"/>
    <w:rsid w:val="3ADB2271"/>
    <w:rsid w:val="3AE22D99"/>
    <w:rsid w:val="3B5E2A01"/>
    <w:rsid w:val="3C002091"/>
    <w:rsid w:val="3C8C1F1C"/>
    <w:rsid w:val="3CE10692"/>
    <w:rsid w:val="3D040AE8"/>
    <w:rsid w:val="3D8035ED"/>
    <w:rsid w:val="3DAC5CA6"/>
    <w:rsid w:val="3E705642"/>
    <w:rsid w:val="3EF441BC"/>
    <w:rsid w:val="3F001871"/>
    <w:rsid w:val="3F02799B"/>
    <w:rsid w:val="3FA42DD3"/>
    <w:rsid w:val="40773CAC"/>
    <w:rsid w:val="40894551"/>
    <w:rsid w:val="40CF0629"/>
    <w:rsid w:val="40F63E58"/>
    <w:rsid w:val="41B8730F"/>
    <w:rsid w:val="41C04427"/>
    <w:rsid w:val="427A6DC1"/>
    <w:rsid w:val="42B80581"/>
    <w:rsid w:val="431C216E"/>
    <w:rsid w:val="435241BA"/>
    <w:rsid w:val="435B2648"/>
    <w:rsid w:val="43911180"/>
    <w:rsid w:val="442231A0"/>
    <w:rsid w:val="4428271C"/>
    <w:rsid w:val="44B87626"/>
    <w:rsid w:val="453F5652"/>
    <w:rsid w:val="455F0974"/>
    <w:rsid w:val="45946B54"/>
    <w:rsid w:val="45F8765D"/>
    <w:rsid w:val="460D13A2"/>
    <w:rsid w:val="460D14CF"/>
    <w:rsid w:val="46A51301"/>
    <w:rsid w:val="4717258D"/>
    <w:rsid w:val="474433F3"/>
    <w:rsid w:val="47A04ACD"/>
    <w:rsid w:val="48330FDD"/>
    <w:rsid w:val="488E4926"/>
    <w:rsid w:val="48E46C3C"/>
    <w:rsid w:val="49B605D8"/>
    <w:rsid w:val="4A25657D"/>
    <w:rsid w:val="4B1773C0"/>
    <w:rsid w:val="4B214C5B"/>
    <w:rsid w:val="4B806AE2"/>
    <w:rsid w:val="4BA44460"/>
    <w:rsid w:val="4C421060"/>
    <w:rsid w:val="4C4C629F"/>
    <w:rsid w:val="4C800FF1"/>
    <w:rsid w:val="4C880007"/>
    <w:rsid w:val="4C9714FF"/>
    <w:rsid w:val="4CDE0E36"/>
    <w:rsid w:val="4D091CC2"/>
    <w:rsid w:val="4D1F1BB0"/>
    <w:rsid w:val="4D2F36A8"/>
    <w:rsid w:val="4D6835D3"/>
    <w:rsid w:val="4D6D36A4"/>
    <w:rsid w:val="4DA44BEC"/>
    <w:rsid w:val="4DBA1402"/>
    <w:rsid w:val="4ECF5307"/>
    <w:rsid w:val="4F247D92"/>
    <w:rsid w:val="4F2E231B"/>
    <w:rsid w:val="4F2F6737"/>
    <w:rsid w:val="4F57197A"/>
    <w:rsid w:val="4F822D0B"/>
    <w:rsid w:val="4FA000AF"/>
    <w:rsid w:val="50242014"/>
    <w:rsid w:val="5080053F"/>
    <w:rsid w:val="509D1170"/>
    <w:rsid w:val="50A9664F"/>
    <w:rsid w:val="515D512C"/>
    <w:rsid w:val="521C5BFD"/>
    <w:rsid w:val="525200C9"/>
    <w:rsid w:val="52A80CDA"/>
    <w:rsid w:val="52CF39DA"/>
    <w:rsid w:val="52E87910"/>
    <w:rsid w:val="535B3F9E"/>
    <w:rsid w:val="53A32BEB"/>
    <w:rsid w:val="5448427E"/>
    <w:rsid w:val="54EA55DA"/>
    <w:rsid w:val="5536081F"/>
    <w:rsid w:val="555A431A"/>
    <w:rsid w:val="56494852"/>
    <w:rsid w:val="566719F9"/>
    <w:rsid w:val="56A433C3"/>
    <w:rsid w:val="570010E5"/>
    <w:rsid w:val="5720443F"/>
    <w:rsid w:val="57521214"/>
    <w:rsid w:val="57C55E8A"/>
    <w:rsid w:val="58433087"/>
    <w:rsid w:val="58787873"/>
    <w:rsid w:val="58BA3515"/>
    <w:rsid w:val="58E80082"/>
    <w:rsid w:val="592C6788"/>
    <w:rsid w:val="593432C8"/>
    <w:rsid w:val="59617E35"/>
    <w:rsid w:val="59E56230"/>
    <w:rsid w:val="5A073B65"/>
    <w:rsid w:val="5AC42429"/>
    <w:rsid w:val="5ADC5D4F"/>
    <w:rsid w:val="5AF176BA"/>
    <w:rsid w:val="5B2A2BD4"/>
    <w:rsid w:val="5B49252A"/>
    <w:rsid w:val="5C221AFD"/>
    <w:rsid w:val="5C5B5858"/>
    <w:rsid w:val="5CB70498"/>
    <w:rsid w:val="5D085EFE"/>
    <w:rsid w:val="5D5D35E9"/>
    <w:rsid w:val="5DA327CA"/>
    <w:rsid w:val="5DA4304D"/>
    <w:rsid w:val="5DAC71A0"/>
    <w:rsid w:val="5DF43025"/>
    <w:rsid w:val="5DFE5C52"/>
    <w:rsid w:val="5E287173"/>
    <w:rsid w:val="5E6F64A1"/>
    <w:rsid w:val="5EEA2239"/>
    <w:rsid w:val="5EF534F9"/>
    <w:rsid w:val="5FB23198"/>
    <w:rsid w:val="5FD63F26"/>
    <w:rsid w:val="5FEA7368"/>
    <w:rsid w:val="60433DF0"/>
    <w:rsid w:val="60685E1B"/>
    <w:rsid w:val="606F0F62"/>
    <w:rsid w:val="60781824"/>
    <w:rsid w:val="61035807"/>
    <w:rsid w:val="61333E65"/>
    <w:rsid w:val="61794142"/>
    <w:rsid w:val="61882403"/>
    <w:rsid w:val="618A3702"/>
    <w:rsid w:val="619743F4"/>
    <w:rsid w:val="61DD1980"/>
    <w:rsid w:val="61E62E6B"/>
    <w:rsid w:val="61FE395E"/>
    <w:rsid w:val="628876C6"/>
    <w:rsid w:val="636C2837"/>
    <w:rsid w:val="63770E2B"/>
    <w:rsid w:val="63A4104A"/>
    <w:rsid w:val="641D7C93"/>
    <w:rsid w:val="64A137DB"/>
    <w:rsid w:val="64BB3947"/>
    <w:rsid w:val="64FC12CF"/>
    <w:rsid w:val="65385439"/>
    <w:rsid w:val="65B029BF"/>
    <w:rsid w:val="66136560"/>
    <w:rsid w:val="66300B09"/>
    <w:rsid w:val="66DA66F4"/>
    <w:rsid w:val="677B0314"/>
    <w:rsid w:val="67847427"/>
    <w:rsid w:val="678C3DCF"/>
    <w:rsid w:val="67D05A34"/>
    <w:rsid w:val="6819011B"/>
    <w:rsid w:val="69232A11"/>
    <w:rsid w:val="6941105D"/>
    <w:rsid w:val="6974326C"/>
    <w:rsid w:val="6993793D"/>
    <w:rsid w:val="6A20110F"/>
    <w:rsid w:val="6A72227D"/>
    <w:rsid w:val="6A841BD5"/>
    <w:rsid w:val="6B3D425E"/>
    <w:rsid w:val="6B461B6C"/>
    <w:rsid w:val="6B8B1947"/>
    <w:rsid w:val="6C154E0E"/>
    <w:rsid w:val="6C2E1DF8"/>
    <w:rsid w:val="6C930EA9"/>
    <w:rsid w:val="6C9C3206"/>
    <w:rsid w:val="6CA259C7"/>
    <w:rsid w:val="6CD429A0"/>
    <w:rsid w:val="6CE16748"/>
    <w:rsid w:val="6CE822BA"/>
    <w:rsid w:val="6D017EA8"/>
    <w:rsid w:val="6D581578"/>
    <w:rsid w:val="6D7823EF"/>
    <w:rsid w:val="6E245261"/>
    <w:rsid w:val="6E9E476F"/>
    <w:rsid w:val="6EA63CD2"/>
    <w:rsid w:val="6F0C507B"/>
    <w:rsid w:val="6F2762FF"/>
    <w:rsid w:val="6F9E7295"/>
    <w:rsid w:val="70207CAA"/>
    <w:rsid w:val="7088070B"/>
    <w:rsid w:val="70C16305"/>
    <w:rsid w:val="71C22120"/>
    <w:rsid w:val="71E27EE8"/>
    <w:rsid w:val="72204CD9"/>
    <w:rsid w:val="74395084"/>
    <w:rsid w:val="74813ECF"/>
    <w:rsid w:val="755521A4"/>
    <w:rsid w:val="75594B94"/>
    <w:rsid w:val="75793707"/>
    <w:rsid w:val="75976079"/>
    <w:rsid w:val="75A9073C"/>
    <w:rsid w:val="75F73F37"/>
    <w:rsid w:val="76032951"/>
    <w:rsid w:val="7608190C"/>
    <w:rsid w:val="76170E9D"/>
    <w:rsid w:val="76917097"/>
    <w:rsid w:val="7706409E"/>
    <w:rsid w:val="77642B72"/>
    <w:rsid w:val="77C85B27"/>
    <w:rsid w:val="78016613"/>
    <w:rsid w:val="785B52D1"/>
    <w:rsid w:val="78F30C17"/>
    <w:rsid w:val="79897630"/>
    <w:rsid w:val="79AB2CDA"/>
    <w:rsid w:val="79E24222"/>
    <w:rsid w:val="79EF21D4"/>
    <w:rsid w:val="7A0722BC"/>
    <w:rsid w:val="7AA52F23"/>
    <w:rsid w:val="7B0326A2"/>
    <w:rsid w:val="7C1C2B87"/>
    <w:rsid w:val="7C2A25DC"/>
    <w:rsid w:val="7C3635A4"/>
    <w:rsid w:val="7C716E78"/>
    <w:rsid w:val="7D097179"/>
    <w:rsid w:val="7D3A7277"/>
    <w:rsid w:val="7D421016"/>
    <w:rsid w:val="7DC9372F"/>
    <w:rsid w:val="7E254463"/>
    <w:rsid w:val="7E63541B"/>
    <w:rsid w:val="7EA90B20"/>
    <w:rsid w:val="7EAA7A04"/>
    <w:rsid w:val="7ED230A1"/>
    <w:rsid w:val="7EF8661E"/>
    <w:rsid w:val="7F743BAB"/>
    <w:rsid w:val="7FAA4367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9"/>
    <w:qFormat/>
    <w:uiPriority w:val="0"/>
    <w:pPr>
      <w:numPr>
        <w:ilvl w:val="0"/>
        <w:numId w:val="1"/>
      </w:numPr>
      <w:spacing w:before="0" w:beforeAutospacing="0" w:after="0" w:afterAutospacing="0" w:line="360" w:lineRule="auto"/>
      <w:ind w:left="432" w:hanging="432"/>
      <w:jc w:val="left"/>
      <w:outlineLvl w:val="0"/>
    </w:pPr>
    <w:rPr>
      <w:rFonts w:hint="eastAsia" w:ascii="宋体" w:hAnsi="宋体" w:eastAsia="宋体" w:cs="宋体"/>
      <w:b/>
      <w:bCs/>
      <w:kern w:val="44"/>
      <w:sz w:val="28"/>
      <w:szCs w:val="48"/>
      <w:lang w:bidi="ar"/>
    </w:rPr>
  </w:style>
  <w:style w:type="paragraph" w:styleId="2">
    <w:name w:val="heading 2"/>
    <w:basedOn w:val="1"/>
    <w:next w:val="1"/>
    <w:link w:val="27"/>
    <w:semiHidden/>
    <w:unhideWhenUsed/>
    <w:qFormat/>
    <w:uiPriority w:val="0"/>
    <w:pPr>
      <w:keepNext/>
      <w:keepLines/>
      <w:widowControl/>
      <w:numPr>
        <w:ilvl w:val="1"/>
        <w:numId w:val="1"/>
      </w:numPr>
      <w:spacing w:line="360" w:lineRule="auto"/>
      <w:ind w:left="575" w:hanging="575"/>
      <w:jc w:val="left"/>
      <w:outlineLvl w:val="1"/>
    </w:pPr>
    <w:rPr>
      <w:rFonts w:ascii="宋体" w:hAnsi="宋体" w:eastAsia="宋体" w:cs="宋体"/>
      <w:b/>
      <w:kern w:val="0"/>
      <w:sz w:val="24"/>
      <w:szCs w:val="20"/>
    </w:rPr>
  </w:style>
  <w:style w:type="paragraph" w:styleId="4">
    <w:name w:val="heading 3"/>
    <w:basedOn w:val="1"/>
    <w:next w:val="1"/>
    <w:link w:val="28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0"/>
        <w:tab w:val="left" w:pos="283"/>
      </w:tabs>
      <w:spacing w:line="360" w:lineRule="auto"/>
      <w:ind w:left="720" w:hanging="720" w:firstLineChars="0"/>
      <w:jc w:val="left"/>
      <w:outlineLvl w:val="2"/>
    </w:pPr>
    <w:rPr>
      <w:rFonts w:ascii="宋体" w:hAnsi="宋体" w:eastAsia="宋体" w:cs="宋体"/>
      <w:b/>
      <w:sz w:val="24"/>
      <w:szCs w:val="24"/>
    </w:rPr>
  </w:style>
  <w:style w:type="paragraph" w:styleId="5">
    <w:name w:val="heading 4"/>
    <w:basedOn w:val="1"/>
    <w:next w:val="1"/>
    <w:link w:val="26"/>
    <w:autoRedefine/>
    <w:semiHidden/>
    <w:unhideWhenUsed/>
    <w:qFormat/>
    <w:uiPriority w:val="0"/>
    <w:pPr>
      <w:keepNext/>
      <w:keepLines/>
      <w:numPr>
        <w:ilvl w:val="3"/>
        <w:numId w:val="1"/>
      </w:numPr>
      <w:tabs>
        <w:tab w:val="left" w:pos="0"/>
        <w:tab w:val="left" w:pos="425"/>
      </w:tabs>
      <w:spacing w:line="360" w:lineRule="auto"/>
      <w:ind w:left="864" w:hanging="864" w:firstLineChars="0"/>
      <w:jc w:val="left"/>
      <w:outlineLvl w:val="3"/>
    </w:pPr>
    <w:rPr>
      <w:rFonts w:ascii="宋体" w:hAnsi="宋体" w:eastAsia="宋体" w:cs="宋体"/>
      <w:b/>
      <w:sz w:val="24"/>
      <w:szCs w:val="28"/>
    </w:rPr>
  </w:style>
  <w:style w:type="paragraph" w:styleId="6">
    <w:name w:val="heading 5"/>
    <w:basedOn w:val="1"/>
    <w:next w:val="1"/>
    <w:link w:val="30"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0"/>
        <w:tab w:val="left" w:pos="425"/>
      </w:tabs>
      <w:spacing w:line="360" w:lineRule="auto"/>
      <w:ind w:left="1008" w:leftChars="0" w:right="0" w:rightChars="0" w:hanging="1008" w:firstLineChars="0"/>
      <w:jc w:val="left"/>
      <w:outlineLvl w:val="4"/>
    </w:pPr>
    <w:rPr>
      <w:rFonts w:ascii="宋体" w:hAnsi="宋体" w:eastAsia="宋体" w:cs="宋体"/>
      <w:b/>
      <w:sz w:val="24"/>
      <w:szCs w:val="22"/>
    </w:rPr>
  </w:style>
  <w:style w:type="paragraph" w:styleId="7">
    <w:name w:val="heading 6"/>
    <w:basedOn w:val="1"/>
    <w:next w:val="1"/>
    <w:link w:val="31"/>
    <w:semiHidden/>
    <w:unhideWhenUsed/>
    <w:qFormat/>
    <w:uiPriority w:val="0"/>
    <w:pPr>
      <w:keepNext/>
      <w:keepLines/>
      <w:numPr>
        <w:ilvl w:val="5"/>
        <w:numId w:val="1"/>
      </w:numPr>
      <w:tabs>
        <w:tab w:val="left" w:pos="1152"/>
      </w:tabs>
      <w:spacing w:line="360" w:lineRule="auto"/>
      <w:ind w:left="1151" w:hanging="1151" w:firstLineChars="0"/>
      <w:jc w:val="left"/>
      <w:outlineLvl w:val="5"/>
    </w:pPr>
    <w:rPr>
      <w:rFonts w:ascii="宋体" w:hAnsi="宋体" w:eastAsia="宋体" w:cs="宋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Lines="0" w:beforeAutospacing="0" w:afterLines="0" w:afterAutospacing="0" w:line="360" w:lineRule="auto"/>
      <w:ind w:left="1296" w:hanging="1296"/>
      <w:jc w:val="left"/>
      <w:outlineLvl w:val="6"/>
    </w:pPr>
    <w:rPr>
      <w:rFonts w:ascii="宋体" w:hAnsi="宋体" w:eastAsia="宋体" w:cs="宋体"/>
      <w:b/>
      <w:sz w:val="24"/>
      <w:szCs w:val="22"/>
      <w:lang w:val="zh-CN" w:bidi="zh-CN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Lines="0" w:beforeAutospacing="0" w:afterLines="0" w:afterAutospacing="0" w:line="360" w:lineRule="auto"/>
      <w:ind w:left="1440" w:hanging="1440"/>
      <w:jc w:val="left"/>
      <w:outlineLvl w:val="7"/>
    </w:pPr>
    <w:rPr>
      <w:rFonts w:ascii="宋体" w:hAnsi="宋体" w:eastAsia="宋体" w:cs="宋体"/>
      <w:b/>
      <w:sz w:val="24"/>
      <w:szCs w:val="21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annotation text"/>
    <w:basedOn w:val="1"/>
    <w:qFormat/>
    <w:uiPriority w:val="0"/>
    <w:pPr>
      <w:jc w:val="left"/>
    </w:pPr>
  </w:style>
  <w:style w:type="paragraph" w:styleId="13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1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5">
    <w:name w:val="index 4"/>
    <w:basedOn w:val="1"/>
    <w:next w:val="1"/>
    <w:autoRedefine/>
    <w:unhideWhenUsed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16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  <w:szCs w:val="21"/>
    </w:rPr>
  </w:style>
  <w:style w:type="paragraph" w:styleId="17">
    <w:name w:val="toc 3"/>
    <w:basedOn w:val="1"/>
    <w:next w:val="1"/>
    <w:qFormat/>
    <w:uiPriority w:val="0"/>
    <w:pPr>
      <w:tabs>
        <w:tab w:val="left" w:pos="1260"/>
        <w:tab w:val="right" w:leader="dot" w:pos="8450"/>
      </w:tabs>
      <w:ind w:left="840" w:leftChars="400"/>
    </w:pPr>
    <w:rPr>
      <w:rFonts w:ascii="宋体" w:hAnsi="宋体" w:eastAsia="宋体" w:cs="宋体"/>
      <w:color w:val="000000"/>
      <w:szCs w:val="21"/>
    </w:rPr>
  </w:style>
  <w:style w:type="paragraph" w:styleId="18">
    <w:name w:val="toc 1"/>
    <w:basedOn w:val="1"/>
    <w:next w:val="1"/>
    <w:qFormat/>
    <w:uiPriority w:val="0"/>
    <w:rPr>
      <w:rFonts w:ascii="Times New Roman" w:hAnsi="Times New Roman" w:eastAsia="宋体" w:cs="Times New Roman"/>
      <w:szCs w:val="21"/>
    </w:rPr>
  </w:style>
  <w:style w:type="paragraph" w:styleId="19">
    <w:name w:val="toc 4"/>
    <w:basedOn w:val="1"/>
    <w:next w:val="1"/>
    <w:qFormat/>
    <w:uiPriority w:val="0"/>
    <w:pPr>
      <w:tabs>
        <w:tab w:val="left" w:pos="1260"/>
        <w:tab w:val="right" w:leader="dot" w:pos="8303"/>
      </w:tabs>
      <w:spacing w:line="360" w:lineRule="exact"/>
      <w:ind w:left="3306" w:leftChars="600" w:hanging="941" w:hangingChars="392"/>
    </w:pPr>
    <w:rPr>
      <w:rFonts w:ascii="Times New Roman" w:hAnsi="Times New Roman" w:eastAsia="宋体" w:cs="Times New Roman"/>
      <w:sz w:val="21"/>
    </w:rPr>
  </w:style>
  <w:style w:type="paragraph" w:styleId="20">
    <w:name w:val="toc 6"/>
    <w:basedOn w:val="1"/>
    <w:next w:val="1"/>
    <w:qFormat/>
    <w:uiPriority w:val="0"/>
    <w:pPr>
      <w:ind w:left="2100" w:leftChars="1000"/>
    </w:pPr>
    <w:rPr>
      <w:rFonts w:ascii="宋体" w:hAnsi="宋体" w:eastAsia="宋体" w:cs="宋体"/>
      <w:szCs w:val="21"/>
    </w:rPr>
  </w:style>
  <w:style w:type="paragraph" w:styleId="21">
    <w:name w:val="toc 2"/>
    <w:basedOn w:val="1"/>
    <w:next w:val="1"/>
    <w:qFormat/>
    <w:uiPriority w:val="0"/>
    <w:pPr>
      <w:ind w:left="420" w:leftChars="200"/>
    </w:pPr>
    <w:rPr>
      <w:rFonts w:ascii="宋体" w:hAnsi="宋体" w:eastAsia="宋体" w:cs="宋体"/>
      <w:szCs w:val="21"/>
    </w:rPr>
  </w:style>
  <w:style w:type="paragraph" w:styleId="22">
    <w:name w:val="Body Text First Indent"/>
    <w:basedOn w:val="13"/>
    <w:next w:val="23"/>
    <w:autoRedefine/>
    <w:qFormat/>
    <w:uiPriority w:val="0"/>
    <w:pPr>
      <w:ind w:firstLine="420" w:firstLineChars="100"/>
    </w:pPr>
  </w:style>
  <w:style w:type="paragraph" w:styleId="23">
    <w:name w:val="Body Text First Indent 2"/>
    <w:basedOn w:val="14"/>
    <w:qFormat/>
    <w:uiPriority w:val="0"/>
    <w:pPr>
      <w:ind w:firstLine="420" w:firstLineChars="200"/>
    </w:pPr>
  </w:style>
  <w:style w:type="character" w:customStyle="1" w:styleId="26">
    <w:name w:val="标题 4 Char"/>
    <w:link w:val="5"/>
    <w:qFormat/>
    <w:uiPriority w:val="0"/>
    <w:rPr>
      <w:rFonts w:ascii="宋体" w:hAnsi="宋体" w:eastAsia="宋体" w:cs="宋体"/>
      <w:b/>
      <w:sz w:val="24"/>
      <w:szCs w:val="22"/>
      <w:lang w:val="zh-CN" w:bidi="zh-CN"/>
    </w:rPr>
  </w:style>
  <w:style w:type="character" w:customStyle="1" w:styleId="27">
    <w:name w:val="标题 2 Char"/>
    <w:link w:val="2"/>
    <w:qFormat/>
    <w:uiPriority w:val="0"/>
    <w:rPr>
      <w:rFonts w:ascii="宋体" w:hAnsi="宋体" w:eastAsia="宋体" w:cs="宋体"/>
      <w:b/>
      <w:sz w:val="24"/>
      <w:szCs w:val="22"/>
      <w:lang w:val="zh-CN" w:bidi="zh-CN"/>
    </w:rPr>
  </w:style>
  <w:style w:type="character" w:customStyle="1" w:styleId="28">
    <w:name w:val="标题 3 Char"/>
    <w:link w:val="4"/>
    <w:qFormat/>
    <w:uiPriority w:val="0"/>
    <w:rPr>
      <w:rFonts w:ascii="宋体" w:hAnsi="宋体" w:eastAsia="宋体" w:cs="宋体"/>
      <w:b/>
      <w:sz w:val="24"/>
      <w:szCs w:val="24"/>
    </w:rPr>
  </w:style>
  <w:style w:type="character" w:customStyle="1" w:styleId="29">
    <w:name w:val="标题 1 Char1"/>
    <w:link w:val="3"/>
    <w:qFormat/>
    <w:locked/>
    <w:uiPriority w:val="0"/>
    <w:rPr>
      <w:rFonts w:ascii="宋体" w:hAnsi="宋体" w:eastAsia="宋体" w:cs="宋体"/>
      <w:b/>
      <w:bCs/>
      <w:snapToGrid w:val="0"/>
      <w:color w:val="000000"/>
      <w:kern w:val="44"/>
      <w:sz w:val="28"/>
      <w:szCs w:val="22"/>
      <w:lang w:eastAsia="en-US"/>
    </w:rPr>
  </w:style>
  <w:style w:type="character" w:customStyle="1" w:styleId="30">
    <w:name w:val="标题 5 Char1"/>
    <w:link w:val="6"/>
    <w:autoRedefine/>
    <w:qFormat/>
    <w:locked/>
    <w:uiPriority w:val="0"/>
    <w:rPr>
      <w:rFonts w:ascii="宋体" w:hAnsi="宋体" w:eastAsia="宋体" w:cs="宋体"/>
      <w:b/>
      <w:bCs/>
      <w:sz w:val="24"/>
      <w:szCs w:val="22"/>
    </w:rPr>
  </w:style>
  <w:style w:type="character" w:customStyle="1" w:styleId="31">
    <w:name w:val="标题 6 字符"/>
    <w:basedOn w:val="25"/>
    <w:link w:val="7"/>
    <w:qFormat/>
    <w:uiPriority w:val="0"/>
    <w:rPr>
      <w:rFonts w:ascii="宋体" w:hAnsi="宋体" w:eastAsia="宋体" w:cs="宋体"/>
      <w:b/>
      <w:kern w:val="2"/>
      <w:sz w:val="24"/>
      <w:szCs w:val="24"/>
    </w:rPr>
  </w:style>
  <w:style w:type="paragraph" w:customStyle="1" w:styleId="32">
    <w:name w:val="U_正文2"/>
    <w:basedOn w:val="1"/>
    <w:qFormat/>
    <w:uiPriority w:val="0"/>
    <w:pPr>
      <w:widowControl/>
      <w:spacing w:before="10" w:beforeLines="10" w:after="10" w:afterLines="10" w:line="300" w:lineRule="auto"/>
      <w:ind w:firstLine="200" w:firstLineChars="200"/>
      <w:jc w:val="left"/>
    </w:pPr>
    <w:rPr>
      <w:kern w:val="0"/>
      <w:sz w:val="24"/>
      <w:szCs w:val="20"/>
    </w:rPr>
  </w:style>
  <w:style w:type="character" w:customStyle="1" w:styleId="33">
    <w:name w:val="font71"/>
    <w:basedOn w:val="2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styleId="34">
    <w:name w:val="List Paragraph"/>
    <w:basedOn w:val="1"/>
    <w:qFormat/>
    <w:uiPriority w:val="34"/>
    <w:pPr>
      <w:numPr>
        <w:ilvl w:val="0"/>
        <w:numId w:val="2"/>
      </w:numPr>
      <w:spacing w:line="360" w:lineRule="auto"/>
    </w:pPr>
    <w:rPr>
      <w:rFonts w:ascii="华文仿宋" w:hAnsi="华文仿宋" w:eastAsia="华文仿宋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1533</Words>
  <Characters>1568</Characters>
  <Lines>0</Lines>
  <Paragraphs>0</Paragraphs>
  <TotalTime>11</TotalTime>
  <ScaleCrop>false</ScaleCrop>
  <LinksUpToDate>false</LinksUpToDate>
  <CharactersWithSpaces>1570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2022-09-14T01:03:00Z</dcterms:created>
  <dc:creator>admin</dc:creator>
  <cp:lastModifiedBy>微微微</cp:lastModifiedBy>
  <dcterms:modified xsi:type="dcterms:W3CDTF">2024-09-22T07:04:07Z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7088C8CC168944ECA2F1E3F84E7CBCCB_13</vt:lpwstr>
  </property>
</Properties>
</file>