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724"/>
        <w:gridCol w:w="2944"/>
        <w:gridCol w:w="2263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03" w:type="dxa"/>
            <w:gridSpan w:val="5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>
            <w:pPr>
              <w:pStyle w:val="9"/>
              <w:spacing w:before="196" w:line="228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pacing w:val="7"/>
                <w:sz w:val="20"/>
                <w:szCs w:val="20"/>
                <w:lang w:val="en-US" w:eastAsia="zh-CN"/>
              </w:rPr>
              <w:t>广西壮族自治区南溪山医院血糖仪及血糖试纸需求调查会</w:t>
            </w:r>
            <w:r>
              <w:rPr>
                <w:b/>
                <w:bCs/>
                <w:spacing w:val="7"/>
                <w:sz w:val="20"/>
                <w:szCs w:val="20"/>
              </w:rPr>
              <w:t>综合评分评审规则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03" w:type="dxa"/>
            <w:gridSpan w:val="5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9"/>
              <w:spacing w:before="147" w:line="228" w:lineRule="auto"/>
              <w:ind w:left="3714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评分权重配置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59" w:type="dxa"/>
            <w:gridSpan w:val="2"/>
            <w:tcBorders>
              <w:left w:val="single" w:color="000000" w:sz="10" w:space="0"/>
            </w:tcBorders>
          </w:tcPr>
          <w:p>
            <w:pPr>
              <w:pStyle w:val="9"/>
              <w:spacing w:before="150" w:line="228" w:lineRule="auto"/>
              <w:ind w:left="100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评审项</w:t>
            </w:r>
          </w:p>
        </w:tc>
        <w:tc>
          <w:tcPr>
            <w:tcW w:w="2944" w:type="dxa"/>
          </w:tcPr>
          <w:p>
            <w:pPr>
              <w:pStyle w:val="9"/>
              <w:spacing w:before="149" w:line="228" w:lineRule="auto"/>
              <w:ind w:left="89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所占权重(%)</w:t>
            </w:r>
          </w:p>
        </w:tc>
        <w:tc>
          <w:tcPr>
            <w:tcW w:w="3100" w:type="dxa"/>
            <w:gridSpan w:val="2"/>
            <w:tcBorders>
              <w:right w:val="single" w:color="000000" w:sz="10" w:space="0"/>
            </w:tcBorders>
          </w:tcPr>
          <w:p>
            <w:pPr>
              <w:pStyle w:val="9"/>
              <w:spacing w:before="149" w:line="228" w:lineRule="auto"/>
              <w:ind w:left="134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59" w:type="dxa"/>
            <w:gridSpan w:val="2"/>
            <w:tcBorders>
              <w:left w:val="single" w:color="000000" w:sz="10" w:space="0"/>
            </w:tcBorders>
          </w:tcPr>
          <w:p>
            <w:pPr>
              <w:pStyle w:val="9"/>
              <w:spacing w:before="151" w:line="228" w:lineRule="auto"/>
              <w:ind w:left="906"/>
              <w:rPr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  <w:lang w:eastAsia="zh-CN"/>
              </w:rPr>
              <w:t>资质</w:t>
            </w:r>
            <w:r>
              <w:rPr>
                <w:spacing w:val="6"/>
                <w:sz w:val="20"/>
                <w:szCs w:val="20"/>
              </w:rPr>
              <w:t>部分</w:t>
            </w:r>
          </w:p>
        </w:tc>
        <w:tc>
          <w:tcPr>
            <w:tcW w:w="2944" w:type="dxa"/>
          </w:tcPr>
          <w:p>
            <w:pPr>
              <w:pStyle w:val="9"/>
              <w:spacing w:before="183" w:line="190" w:lineRule="auto"/>
              <w:ind w:left="126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0.15</w:t>
            </w:r>
          </w:p>
        </w:tc>
        <w:tc>
          <w:tcPr>
            <w:tcW w:w="3100" w:type="dxa"/>
            <w:gridSpan w:val="2"/>
            <w:tcBorders>
              <w:right w:val="single" w:color="000000" w:sz="10" w:space="0"/>
            </w:tcBorders>
          </w:tcPr>
          <w:p>
            <w:pPr>
              <w:pStyle w:val="9"/>
              <w:spacing w:before="183" w:line="190" w:lineRule="auto"/>
              <w:ind w:left="146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59" w:type="dxa"/>
            <w:gridSpan w:val="2"/>
            <w:tcBorders>
              <w:left w:val="single" w:color="000000" w:sz="10" w:space="0"/>
            </w:tcBorders>
          </w:tcPr>
          <w:p>
            <w:pPr>
              <w:pStyle w:val="9"/>
              <w:spacing w:before="150" w:line="228" w:lineRule="auto"/>
              <w:ind w:left="90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技术部分</w:t>
            </w:r>
          </w:p>
        </w:tc>
        <w:tc>
          <w:tcPr>
            <w:tcW w:w="2944" w:type="dxa"/>
          </w:tcPr>
          <w:p>
            <w:pPr>
              <w:pStyle w:val="9"/>
              <w:spacing w:before="183" w:line="189" w:lineRule="auto"/>
              <w:ind w:left="126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0.50</w:t>
            </w:r>
          </w:p>
        </w:tc>
        <w:tc>
          <w:tcPr>
            <w:tcW w:w="3100" w:type="dxa"/>
            <w:gridSpan w:val="2"/>
            <w:tcBorders>
              <w:right w:val="single" w:color="000000" w:sz="10" w:space="0"/>
            </w:tcBorders>
          </w:tcPr>
          <w:p>
            <w:pPr>
              <w:pStyle w:val="9"/>
              <w:spacing w:before="183" w:line="189" w:lineRule="auto"/>
              <w:ind w:left="14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59" w:type="dxa"/>
            <w:gridSpan w:val="2"/>
            <w:tcBorders>
              <w:left w:val="single" w:color="000000" w:sz="10" w:space="0"/>
            </w:tcBorders>
          </w:tcPr>
          <w:p>
            <w:pPr>
              <w:pStyle w:val="9"/>
              <w:spacing w:before="152" w:line="226" w:lineRule="auto"/>
              <w:ind w:left="90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报价部分</w:t>
            </w:r>
          </w:p>
        </w:tc>
        <w:tc>
          <w:tcPr>
            <w:tcW w:w="2944" w:type="dxa"/>
          </w:tcPr>
          <w:p>
            <w:pPr>
              <w:pStyle w:val="9"/>
              <w:spacing w:before="185" w:line="189" w:lineRule="auto"/>
              <w:ind w:left="126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0.35</w:t>
            </w:r>
          </w:p>
        </w:tc>
        <w:tc>
          <w:tcPr>
            <w:tcW w:w="3100" w:type="dxa"/>
            <w:gridSpan w:val="2"/>
            <w:tcBorders>
              <w:right w:val="single" w:color="000000" w:sz="10" w:space="0"/>
            </w:tcBorders>
          </w:tcPr>
          <w:p>
            <w:pPr>
              <w:pStyle w:val="9"/>
              <w:spacing w:before="185" w:line="189" w:lineRule="auto"/>
              <w:ind w:left="144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03" w:type="dxa"/>
            <w:gridSpan w:val="5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9"/>
              <w:spacing w:before="154" w:line="226" w:lineRule="auto"/>
              <w:ind w:left="3924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报价部分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35" w:type="dxa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9"/>
              <w:spacing w:before="153" w:line="228" w:lineRule="auto"/>
              <w:ind w:left="54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计分因素</w:t>
            </w:r>
          </w:p>
        </w:tc>
        <w:tc>
          <w:tcPr>
            <w:tcW w:w="724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153" w:line="228" w:lineRule="auto"/>
              <w:ind w:left="15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分值</w:t>
            </w:r>
          </w:p>
        </w:tc>
        <w:tc>
          <w:tcPr>
            <w:tcW w:w="5207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154" w:line="228" w:lineRule="auto"/>
              <w:ind w:left="219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评分标准</w:t>
            </w:r>
          </w:p>
        </w:tc>
        <w:tc>
          <w:tcPr>
            <w:tcW w:w="837" w:type="dxa"/>
            <w:tcBorders>
              <w:left w:val="single" w:color="000000" w:sz="2" w:space="0"/>
              <w:right w:val="single" w:color="000000" w:sz="10" w:space="0"/>
            </w:tcBorders>
          </w:tcPr>
          <w:p>
            <w:pPr>
              <w:pStyle w:val="9"/>
              <w:spacing w:before="154" w:line="228" w:lineRule="auto"/>
              <w:ind w:left="2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8" w:hRule="atLeast"/>
        </w:trPr>
        <w:tc>
          <w:tcPr>
            <w:tcW w:w="1935" w:type="dxa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pStyle w:val="9"/>
              <w:spacing w:before="65" w:line="226" w:lineRule="auto"/>
              <w:ind w:left="75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价格</w:t>
            </w:r>
          </w:p>
        </w:tc>
        <w:tc>
          <w:tcPr>
            <w:tcW w:w="724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pStyle w:val="9"/>
              <w:spacing w:before="65" w:line="189" w:lineRule="auto"/>
              <w:ind w:left="25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35</w:t>
            </w:r>
          </w:p>
        </w:tc>
        <w:tc>
          <w:tcPr>
            <w:tcW w:w="5207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136" w:line="322" w:lineRule="auto"/>
              <w:ind w:left="28" w:right="1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在同一目录中满足招标文件要求的所有投标报价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记为X</w:t>
            </w:r>
            <w:r>
              <w:rPr>
                <w:spacing w:val="9"/>
                <w:sz w:val="20"/>
                <w:szCs w:val="20"/>
                <w:lang w:eastAsia="zh-CN"/>
              </w:rPr>
              <w:t>,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报价最高的的记为B（得分8</w:t>
            </w:r>
            <w:r>
              <w:rPr>
                <w:spacing w:val="9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分），报价最低的记为C（得分1</w:t>
            </w:r>
            <w:r>
              <w:rPr>
                <w:spacing w:val="9"/>
                <w:sz w:val="20"/>
                <w:szCs w:val="20"/>
                <w:lang w:eastAsia="zh-CN"/>
              </w:rPr>
              <w:t>00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分）。其余投标报价按照线性方法计算得分，斜率K</w:t>
            </w:r>
            <w:r>
              <w:rPr>
                <w:spacing w:val="9"/>
                <w:sz w:val="20"/>
                <w:szCs w:val="20"/>
                <w:lang w:eastAsia="zh-CN"/>
              </w:rPr>
              <w:t>=15/(C-B),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经济得分</w:t>
            </w:r>
            <w:r>
              <w:rPr>
                <w:spacing w:val="9"/>
                <w:sz w:val="20"/>
                <w:szCs w:val="20"/>
                <w:lang w:eastAsia="zh-CN"/>
              </w:rPr>
              <w:t>=85+K*(X-B)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  <w:p>
            <w:pPr>
              <w:pStyle w:val="9"/>
              <w:spacing w:before="151" w:line="226" w:lineRule="auto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备注：1、各供应商最终价格加权得分=投标价格分*0.35。</w:t>
            </w:r>
          </w:p>
          <w:p>
            <w:pPr>
              <w:pStyle w:val="9"/>
              <w:spacing w:before="233" w:line="323" w:lineRule="auto"/>
              <w:ind w:left="29" w:right="18" w:firstLine="2"/>
              <w:jc w:val="both"/>
              <w:rPr>
                <w:spacing w:val="9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2、供应商所投产品偏离该目录采购要求的或未通过本项</w:t>
            </w:r>
            <w:r>
              <w:rPr>
                <w:spacing w:val="6"/>
                <w:sz w:val="20"/>
                <w:szCs w:val="20"/>
                <w:lang w:eastAsia="zh-CN"/>
              </w:rPr>
              <w:t>目资格审查的，则该供应商申报价格不进入评审基准价的</w:t>
            </w:r>
            <w:r>
              <w:rPr>
                <w:spacing w:val="4"/>
                <w:sz w:val="20"/>
                <w:szCs w:val="20"/>
                <w:lang w:eastAsia="zh-CN"/>
              </w:rPr>
              <w:t>计算</w:t>
            </w:r>
            <w:r>
              <w:rPr>
                <w:spacing w:val="5"/>
                <w:sz w:val="20"/>
                <w:szCs w:val="20"/>
                <w:lang w:eastAsia="zh-CN"/>
              </w:rPr>
              <w:br w:type="textWrapping"/>
            </w:r>
            <w:r>
              <w:rPr>
                <w:spacing w:val="5"/>
                <w:sz w:val="20"/>
                <w:szCs w:val="20"/>
                <w:lang w:eastAsia="zh-CN"/>
              </w:rPr>
              <w:br w:type="textWrapping"/>
            </w:r>
          </w:p>
        </w:tc>
        <w:tc>
          <w:tcPr>
            <w:tcW w:w="837" w:type="dxa"/>
            <w:tcBorders>
              <w:left w:val="single" w:color="000000" w:sz="2" w:space="0"/>
              <w:righ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03" w:type="dxa"/>
            <w:gridSpan w:val="5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9"/>
              <w:spacing w:before="167" w:line="228" w:lineRule="auto"/>
              <w:ind w:left="393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5"/>
                <w:sz w:val="20"/>
                <w:szCs w:val="20"/>
                <w:lang w:eastAsia="zh-CN"/>
              </w:rPr>
              <w:t>资质</w:t>
            </w:r>
            <w:r>
              <w:rPr>
                <w:b/>
                <w:bCs/>
                <w:spacing w:val="5"/>
                <w:sz w:val="20"/>
                <w:szCs w:val="20"/>
              </w:rPr>
              <w:t>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935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475" w:lineRule="auto"/>
              <w:rPr>
                <w:lang w:eastAsia="zh-CN"/>
              </w:rPr>
            </w:pPr>
          </w:p>
          <w:p>
            <w:pPr>
              <w:pStyle w:val="9"/>
              <w:spacing w:before="65" w:line="227" w:lineRule="auto"/>
              <w:ind w:left="3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制造商授权书</w:t>
            </w:r>
          </w:p>
        </w:tc>
        <w:tc>
          <w:tcPr>
            <w:tcW w:w="724" w:type="dxa"/>
            <w:tcBorders>
              <w:bottom w:val="single" w:color="000000" w:sz="10" w:space="0"/>
              <w:right w:val="single" w:color="000000" w:sz="2" w:space="0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pStyle w:val="9"/>
              <w:spacing w:before="65" w:line="190" w:lineRule="auto"/>
              <w:ind w:left="2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</w:t>
            </w:r>
          </w:p>
        </w:tc>
        <w:tc>
          <w:tcPr>
            <w:tcW w:w="5207" w:type="dxa"/>
            <w:gridSpan w:val="2"/>
            <w:tcBorders>
              <w:left w:val="single" w:color="000000" w:sz="2" w:space="0"/>
              <w:bottom w:val="single" w:color="000000" w:sz="10" w:space="0"/>
            </w:tcBorders>
          </w:tcPr>
          <w:p>
            <w:pPr>
              <w:pStyle w:val="9"/>
              <w:spacing w:before="182" w:line="314" w:lineRule="auto"/>
              <w:ind w:left="29" w:right="34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供应商为产品厂家直接参与或厂家直接授权的代理商的</w:t>
            </w:r>
            <w:r>
              <w:rPr>
                <w:spacing w:val="6"/>
                <w:sz w:val="20"/>
                <w:szCs w:val="20"/>
                <w:lang w:eastAsia="zh-CN"/>
              </w:rPr>
              <w:t>计5分，非厂家直接授权的计</w:t>
            </w:r>
            <w:r>
              <w:rPr>
                <w:spacing w:val="-3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0</w:t>
            </w:r>
            <w:r>
              <w:rPr>
                <w:spacing w:val="-3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分。（进口产品的全</w:t>
            </w:r>
            <w:r>
              <w:rPr>
                <w:spacing w:val="7"/>
                <w:sz w:val="20"/>
                <w:szCs w:val="20"/>
                <w:lang w:eastAsia="zh-CN"/>
              </w:rPr>
              <w:t>国总代视为厂家）</w:t>
            </w:r>
          </w:p>
        </w:tc>
        <w:tc>
          <w:tcPr>
            <w:tcW w:w="837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tbl>
      <w:tblPr>
        <w:tblStyle w:val="8"/>
        <w:tblW w:w="870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724"/>
        <w:gridCol w:w="5208"/>
        <w:gridCol w:w="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1934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spacing w:line="249" w:lineRule="auto"/>
              <w:rPr>
                <w:lang w:eastAsia="zh-CN"/>
              </w:rPr>
            </w:pPr>
          </w:p>
          <w:p>
            <w:pPr>
              <w:pStyle w:val="9"/>
              <w:spacing w:before="65" w:line="228" w:lineRule="auto"/>
              <w:ind w:left="3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遴选产品要求</w:t>
            </w:r>
          </w:p>
        </w:tc>
        <w:tc>
          <w:tcPr>
            <w:tcW w:w="724" w:type="dxa"/>
            <w:tcBorders>
              <w:top w:val="single" w:color="000000" w:sz="10" w:space="0"/>
              <w:right w:val="single" w:color="000000" w:sz="2" w:space="0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pStyle w:val="9"/>
              <w:spacing w:before="65" w:line="190" w:lineRule="auto"/>
              <w:ind w:left="2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</w:t>
            </w:r>
          </w:p>
        </w:tc>
        <w:tc>
          <w:tcPr>
            <w:tcW w:w="5208" w:type="dxa"/>
            <w:tcBorders>
              <w:top w:val="single" w:color="000000" w:sz="10" w:space="0"/>
              <w:left w:val="single" w:color="000000" w:sz="2" w:space="0"/>
            </w:tcBorders>
          </w:tcPr>
          <w:p>
            <w:pPr>
              <w:pStyle w:val="9"/>
              <w:spacing w:before="125" w:line="318" w:lineRule="auto"/>
              <w:ind w:left="38" w:right="140" w:hanging="8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供应商按照产品信息一览表的目录序号的顺序提供以下</w:t>
            </w:r>
            <w:r>
              <w:rPr>
                <w:spacing w:val="12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资料：</w:t>
            </w:r>
          </w:p>
          <w:p>
            <w:pPr>
              <w:pStyle w:val="9"/>
              <w:spacing w:before="113" w:line="226" w:lineRule="auto"/>
              <w:ind w:left="33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1、所投产品规格型号在阳光网中的价格截图；</w:t>
            </w:r>
          </w:p>
          <w:p>
            <w:pPr>
              <w:pStyle w:val="9"/>
              <w:spacing w:before="116" w:line="297" w:lineRule="auto"/>
              <w:ind w:left="29" w:right="15" w:firstLine="5"/>
              <w:rPr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2、所投产品规格型号在备案凭证或注册证中有显著标记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的（如所投产品为不列入医疗器械管理的范围，则在不列</w:t>
            </w:r>
            <w:r>
              <w:rPr>
                <w:spacing w:val="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9"/>
                <w:sz w:val="20"/>
                <w:szCs w:val="20"/>
                <w:lang w:eastAsia="zh-CN"/>
              </w:rPr>
              <w:t>入医疗器械管理发文的文件中有显著标记的</w:t>
            </w:r>
            <w:r>
              <w:rPr>
                <w:spacing w:val="4"/>
                <w:sz w:val="20"/>
                <w:szCs w:val="20"/>
                <w:lang w:eastAsia="zh-CN"/>
              </w:rPr>
              <w:t>）；</w:t>
            </w:r>
          </w:p>
          <w:p>
            <w:pPr>
              <w:pStyle w:val="9"/>
              <w:spacing w:before="112" w:line="285" w:lineRule="auto"/>
              <w:ind w:left="30" w:right="15" w:firstLine="23"/>
              <w:rPr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以上每项计</w:t>
            </w:r>
            <w:r>
              <w:rPr>
                <w:spacing w:val="-2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"/>
                <w:sz w:val="20"/>
                <w:szCs w:val="20"/>
                <w:lang w:eastAsia="zh-CN"/>
              </w:rPr>
              <w:t>2分，满分</w:t>
            </w:r>
            <w:r>
              <w:rPr>
                <w:spacing w:val="-2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"/>
                <w:sz w:val="20"/>
                <w:szCs w:val="20"/>
                <w:lang w:eastAsia="zh-CN"/>
              </w:rPr>
              <w:t>4分，未提供的或者提供的资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料不清晰、无法辨别的不计分。</w:t>
            </w:r>
          </w:p>
        </w:tc>
        <w:tc>
          <w:tcPr>
            <w:tcW w:w="837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934" w:type="dxa"/>
            <w:tcBorders>
              <w:left w:val="single" w:color="000000" w:sz="10" w:space="0"/>
            </w:tcBorders>
          </w:tcPr>
          <w:p>
            <w:pPr>
              <w:pStyle w:val="9"/>
              <w:spacing w:before="65" w:line="228" w:lineRule="auto"/>
              <w:ind w:left="540"/>
              <w:rPr>
                <w:spacing w:val="7"/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65" w:line="228" w:lineRule="auto"/>
              <w:ind w:left="540"/>
              <w:rPr>
                <w:spacing w:val="7"/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65" w:line="228" w:lineRule="auto"/>
              <w:ind w:left="540"/>
              <w:rPr>
                <w:spacing w:val="7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产品样品</w:t>
            </w:r>
          </w:p>
        </w:tc>
        <w:tc>
          <w:tcPr>
            <w:tcW w:w="724" w:type="dxa"/>
            <w:tcBorders>
              <w:right w:val="single" w:color="000000" w:sz="2" w:space="0"/>
            </w:tcBorders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pStyle w:val="9"/>
              <w:spacing w:before="65" w:line="189" w:lineRule="auto"/>
              <w:ind w:lef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8" w:type="dxa"/>
            <w:tcBorders>
              <w:left w:val="single" w:color="000000" w:sz="2" w:space="0"/>
            </w:tcBorders>
          </w:tcPr>
          <w:p>
            <w:pPr>
              <w:pStyle w:val="9"/>
              <w:spacing w:before="73" w:line="372" w:lineRule="auto"/>
              <w:ind w:left="29" w:right="135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样品品质优良，综合评价领先的，计3分；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样品品质普通，综合评价一般的，计2分；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样品品质较差，综合评价较低的，计1分；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未提供样品的，计0分。</w:t>
            </w:r>
          </w:p>
        </w:tc>
        <w:tc>
          <w:tcPr>
            <w:tcW w:w="837" w:type="dxa"/>
            <w:tcBorders>
              <w:righ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934" w:type="dxa"/>
            <w:tcBorders>
              <w:left w:val="single" w:color="000000" w:sz="10" w:space="0"/>
            </w:tcBorders>
          </w:tcPr>
          <w:p>
            <w:pPr>
              <w:pStyle w:val="9"/>
              <w:spacing w:before="65" w:line="228" w:lineRule="auto"/>
              <w:ind w:left="540"/>
              <w:jc w:val="both"/>
              <w:rPr>
                <w:spacing w:val="7"/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65" w:line="228" w:lineRule="auto"/>
              <w:ind w:left="540"/>
              <w:jc w:val="both"/>
              <w:rPr>
                <w:spacing w:val="7"/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65" w:line="228" w:lineRule="auto"/>
              <w:ind w:left="540"/>
              <w:jc w:val="both"/>
              <w:rPr>
                <w:spacing w:val="7"/>
                <w:sz w:val="20"/>
                <w:szCs w:val="20"/>
                <w:lang w:eastAsia="zh-CN"/>
              </w:rPr>
            </w:pPr>
          </w:p>
          <w:p>
            <w:pPr>
              <w:pStyle w:val="9"/>
              <w:spacing w:before="65" w:line="228" w:lineRule="auto"/>
              <w:ind w:left="540"/>
              <w:jc w:val="both"/>
              <w:rPr>
                <w:spacing w:val="7"/>
                <w:sz w:val="20"/>
                <w:szCs w:val="20"/>
              </w:rPr>
            </w:pPr>
            <w:r>
              <w:rPr>
                <w:rFonts w:hint="eastAsia"/>
                <w:spacing w:val="7"/>
                <w:sz w:val="20"/>
                <w:szCs w:val="20"/>
              </w:rPr>
              <w:t>产品服务</w:t>
            </w:r>
          </w:p>
        </w:tc>
        <w:tc>
          <w:tcPr>
            <w:tcW w:w="724" w:type="dxa"/>
            <w:tcBorders>
              <w:right w:val="single" w:color="000000" w:sz="2" w:space="0"/>
            </w:tcBorders>
          </w:tcPr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pStyle w:val="9"/>
              <w:spacing w:before="65" w:line="189" w:lineRule="auto"/>
              <w:ind w:left="312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5208" w:type="dxa"/>
            <w:tcBorders>
              <w:left w:val="single" w:color="000000" w:sz="2" w:space="0"/>
            </w:tcBorders>
          </w:tcPr>
          <w:p>
            <w:pPr>
              <w:pStyle w:val="9"/>
              <w:spacing w:before="73" w:line="372" w:lineRule="auto"/>
              <w:ind w:right="1350"/>
              <w:jc w:val="both"/>
              <w:rPr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6"/>
                <w:sz w:val="20"/>
                <w:szCs w:val="20"/>
                <w:lang w:eastAsia="zh-CN"/>
              </w:rPr>
              <w:t>1、供应商需安排人员每月提供一次质控检测并记录；</w:t>
            </w:r>
            <w:r>
              <w:rPr>
                <w:spacing w:val="6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/>
                <w:spacing w:val="6"/>
                <w:sz w:val="20"/>
                <w:szCs w:val="20"/>
                <w:lang w:eastAsia="zh-CN"/>
              </w:rPr>
              <w:t>2、供应商需根据P</w:t>
            </w:r>
            <w:r>
              <w:rPr>
                <w:spacing w:val="6"/>
                <w:sz w:val="20"/>
                <w:szCs w:val="20"/>
                <w:lang w:eastAsia="zh-CN"/>
              </w:rPr>
              <w:t>OCT</w:t>
            </w:r>
            <w:r>
              <w:rPr>
                <w:rFonts w:hint="eastAsia"/>
                <w:spacing w:val="6"/>
                <w:sz w:val="20"/>
                <w:szCs w:val="20"/>
                <w:lang w:eastAsia="zh-CN"/>
              </w:rPr>
              <w:t>管理要求，按时对仪器进行生化比对，确保仪器的准确性；</w:t>
            </w:r>
          </w:p>
          <w:p>
            <w:pPr>
              <w:pStyle w:val="9"/>
              <w:spacing w:before="73" w:line="372" w:lineRule="auto"/>
              <w:ind w:right="1350"/>
              <w:jc w:val="both"/>
              <w:rPr>
                <w:spacing w:val="6"/>
                <w:sz w:val="20"/>
                <w:szCs w:val="20"/>
                <w:lang w:eastAsia="zh-CN"/>
              </w:rPr>
            </w:pPr>
          </w:p>
        </w:tc>
        <w:tc>
          <w:tcPr>
            <w:tcW w:w="837" w:type="dxa"/>
            <w:tcBorders>
              <w:righ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03" w:type="dxa"/>
            <w:gridSpan w:val="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9"/>
              <w:spacing w:before="141" w:line="228" w:lineRule="auto"/>
              <w:ind w:left="3927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技术部分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934" w:type="dxa"/>
            <w:tcBorders>
              <w:left w:val="single" w:color="000000" w:sz="10" w:space="0"/>
              <w:bottom w:val="single" w:color="000000" w:sz="2" w:space="0"/>
            </w:tcBorders>
          </w:tcPr>
          <w:p>
            <w:pPr>
              <w:pStyle w:val="9"/>
              <w:spacing w:before="136" w:line="228" w:lineRule="auto"/>
              <w:ind w:left="54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计分因素</w:t>
            </w:r>
          </w:p>
        </w:tc>
        <w:tc>
          <w:tcPr>
            <w:tcW w:w="724" w:type="dxa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pStyle w:val="9"/>
              <w:spacing w:before="136" w:line="228" w:lineRule="auto"/>
              <w:ind w:left="15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分值</w:t>
            </w:r>
          </w:p>
        </w:tc>
        <w:tc>
          <w:tcPr>
            <w:tcW w:w="5208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pStyle w:val="9"/>
              <w:spacing w:before="137" w:line="228" w:lineRule="auto"/>
              <w:ind w:left="219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评分标准</w:t>
            </w:r>
          </w:p>
        </w:tc>
        <w:tc>
          <w:tcPr>
            <w:tcW w:w="837" w:type="dxa"/>
            <w:tcBorders>
              <w:bottom w:val="single" w:color="000000" w:sz="2" w:space="0"/>
              <w:right w:val="single" w:color="000000" w:sz="10" w:space="0"/>
            </w:tcBorders>
          </w:tcPr>
          <w:p>
            <w:pPr>
              <w:pStyle w:val="9"/>
              <w:spacing w:before="154" w:line="228" w:lineRule="auto"/>
              <w:ind w:left="2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934" w:type="dxa"/>
            <w:tcBorders>
              <w:top w:val="single" w:color="000000" w:sz="2" w:space="0"/>
              <w:left w:val="single" w:color="000000" w:sz="10" w:space="0"/>
            </w:tcBorders>
          </w:tcPr>
          <w:p>
            <w:pPr>
              <w:spacing w:line="461" w:lineRule="auto"/>
            </w:pPr>
          </w:p>
          <w:p>
            <w:pPr>
              <w:pStyle w:val="9"/>
              <w:spacing w:before="65" w:line="228" w:lineRule="auto"/>
              <w:ind w:left="3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技术参数响应</w:t>
            </w:r>
          </w:p>
        </w:tc>
        <w:tc>
          <w:tcPr>
            <w:tcW w:w="724" w:type="dxa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9"/>
              <w:spacing w:before="65" w:line="189" w:lineRule="auto"/>
              <w:ind w:left="2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50</w:t>
            </w:r>
          </w:p>
        </w:tc>
        <w:tc>
          <w:tcPr>
            <w:tcW w:w="5208" w:type="dxa"/>
            <w:tcBorders>
              <w:top w:val="single" w:color="000000" w:sz="2" w:space="0"/>
              <w:left w:val="single" w:color="000000" w:sz="2" w:space="0"/>
            </w:tcBorders>
          </w:tcPr>
          <w:p>
            <w:pPr>
              <w:pStyle w:val="9"/>
              <w:spacing w:before="78" w:line="227" w:lineRule="auto"/>
              <w:ind w:left="41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响应文件未提供“技术响应偏离表</w:t>
            </w:r>
            <w:r>
              <w:rPr>
                <w:spacing w:val="-6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”的，本项计</w:t>
            </w:r>
            <w:r>
              <w:rPr>
                <w:spacing w:val="-3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0</w:t>
            </w:r>
            <w:r>
              <w:rPr>
                <w:spacing w:val="-3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分。</w:t>
            </w:r>
          </w:p>
          <w:p>
            <w:pPr>
              <w:pStyle w:val="9"/>
              <w:spacing w:before="54" w:line="254" w:lineRule="auto"/>
              <w:ind w:left="30" w:firstLine="22"/>
              <w:rPr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以遴选文件“采购目录</w:t>
            </w:r>
            <w:r>
              <w:rPr>
                <w:spacing w:val="-5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”为基准，完全满足</w:t>
            </w:r>
            <w:r>
              <w:rPr>
                <w:spacing w:val="-3"/>
                <w:sz w:val="20"/>
                <w:szCs w:val="20"/>
                <w:lang w:eastAsia="zh-CN"/>
              </w:rPr>
              <w:t>指标</w:t>
            </w:r>
            <w:r>
              <w:rPr>
                <w:rFonts w:hint="eastAsia"/>
                <w:spacing w:val="-3"/>
                <w:sz w:val="20"/>
                <w:szCs w:val="20"/>
                <w:lang w:val="en-US" w:eastAsia="zh-CN"/>
              </w:rPr>
              <w:t>的，</w:t>
            </w:r>
            <w:r>
              <w:rPr>
                <w:spacing w:val="-3"/>
                <w:sz w:val="20"/>
                <w:szCs w:val="20"/>
                <w:lang w:eastAsia="zh-CN"/>
              </w:rPr>
              <w:t>一项计5分</w:t>
            </w:r>
            <w:r>
              <w:rPr>
                <w:rFonts w:hint="eastAsia"/>
                <w:spacing w:val="-3"/>
                <w:sz w:val="20"/>
                <w:szCs w:val="20"/>
                <w:lang w:eastAsia="zh-CN"/>
              </w:rPr>
              <w:t>，</w:t>
            </w:r>
            <w:r>
              <w:rPr>
                <w:spacing w:val="-3"/>
                <w:sz w:val="20"/>
                <w:szCs w:val="20"/>
                <w:lang w:eastAsia="zh-CN"/>
              </w:rPr>
              <w:t>非实质性每</w:t>
            </w:r>
            <w:r>
              <w:rPr>
                <w:spacing w:val="-1"/>
                <w:sz w:val="20"/>
                <w:szCs w:val="20"/>
                <w:lang w:eastAsia="zh-CN"/>
              </w:rPr>
              <w:t>偏离一项扣</w:t>
            </w:r>
            <w:r>
              <w:rPr>
                <w:rFonts w:hint="eastAsia"/>
                <w:spacing w:val="-36"/>
                <w:sz w:val="20"/>
                <w:szCs w:val="20"/>
                <w:lang w:val="en-US" w:eastAsia="zh-CN"/>
              </w:rPr>
              <w:t>3</w:t>
            </w:r>
            <w:r>
              <w:rPr>
                <w:spacing w:val="-1"/>
                <w:sz w:val="20"/>
                <w:szCs w:val="20"/>
                <w:lang w:eastAsia="zh-CN"/>
              </w:rPr>
              <w:t>分，不满足</w:t>
            </w:r>
            <w:r>
              <w:rPr>
                <w:rFonts w:hint="eastAsia"/>
                <w:spacing w:val="-1"/>
                <w:sz w:val="20"/>
                <w:szCs w:val="20"/>
                <w:lang w:val="en-US" w:eastAsia="zh-CN"/>
              </w:rPr>
              <w:t>的</w:t>
            </w:r>
            <w:r>
              <w:rPr>
                <w:spacing w:val="-1"/>
                <w:sz w:val="20"/>
                <w:szCs w:val="20"/>
                <w:lang w:eastAsia="zh-CN"/>
              </w:rPr>
              <w:t>计</w:t>
            </w:r>
            <w:r>
              <w:rPr>
                <w:spacing w:val="-3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"/>
                <w:sz w:val="20"/>
                <w:szCs w:val="20"/>
                <w:lang w:eastAsia="zh-CN"/>
              </w:rPr>
              <w:t>0</w:t>
            </w:r>
            <w:r>
              <w:rPr>
                <w:spacing w:val="-3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1"/>
                <w:sz w:val="20"/>
                <w:szCs w:val="20"/>
                <w:lang w:eastAsia="zh-CN"/>
              </w:rPr>
              <w:t>分。</w:t>
            </w:r>
          </w:p>
        </w:tc>
        <w:tc>
          <w:tcPr>
            <w:tcW w:w="837" w:type="dxa"/>
            <w:tcBorders>
              <w:top w:val="single" w:color="000000" w:sz="2" w:space="0"/>
              <w:right w:val="single" w:color="000000" w:sz="10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lOTY4YTM4MjM5MmIxYzc1ZDgzZTQwNDcwYjdlNTkifQ=="/>
  </w:docVars>
  <w:rsids>
    <w:rsidRoot w:val="00E007CC"/>
    <w:rsid w:val="000114AB"/>
    <w:rsid w:val="000C0F02"/>
    <w:rsid w:val="000C7C26"/>
    <w:rsid w:val="00143676"/>
    <w:rsid w:val="00156F7D"/>
    <w:rsid w:val="002D61BB"/>
    <w:rsid w:val="003306DE"/>
    <w:rsid w:val="00345326"/>
    <w:rsid w:val="003D20DD"/>
    <w:rsid w:val="00475409"/>
    <w:rsid w:val="00612825"/>
    <w:rsid w:val="0071262A"/>
    <w:rsid w:val="0089358E"/>
    <w:rsid w:val="009120D6"/>
    <w:rsid w:val="00945892"/>
    <w:rsid w:val="00971B30"/>
    <w:rsid w:val="009B0B6B"/>
    <w:rsid w:val="00A83801"/>
    <w:rsid w:val="00BD27D8"/>
    <w:rsid w:val="00C065E0"/>
    <w:rsid w:val="00D57FFD"/>
    <w:rsid w:val="00E007CC"/>
    <w:rsid w:val="00EC33BA"/>
    <w:rsid w:val="1C5D59E2"/>
    <w:rsid w:val="2DB31C3B"/>
    <w:rsid w:val="3B6444B4"/>
    <w:rsid w:val="4AE826AD"/>
    <w:rsid w:val="643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5228-242B-46B1-8885-EBB0309DE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F. Hoffmann-La Roche, Ltd.</Company>
  <Pages>2</Pages>
  <Words>682</Words>
  <Characters>729</Characters>
  <Lines>6</Lines>
  <Paragraphs>1</Paragraphs>
  <TotalTime>18801</TotalTime>
  <ScaleCrop>false</ScaleCrop>
  <LinksUpToDate>false</LinksUpToDate>
  <CharactersWithSpaces>747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2024-09-23T06:21:00Z</dcterms:created>
  <dc:creator>Mo, Xianggui {DCAD~Guangzhou}</dc:creator>
  <cp:lastModifiedBy>shebei</cp:lastModifiedBy>
  <cp:lastPrinted>2024-10-09T01:16:00Z</cp:lastPrinted>
  <dcterms:modified xsi:type="dcterms:W3CDTF">2024-10-12T09:16:17Z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C4F231F8223E4AF0962FABDEF66E9B47</vt:lpwstr>
  </property>
</Properties>
</file>