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设备名称：多功能酶标仪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4133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37ADF83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499E5CB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2CCF0CA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1、适用于荧光、光吸收、化学发光测试，具有多种拟合曲线进行分析；</w:t>
      </w:r>
    </w:p>
    <w:p w14:paraId="09352713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2、适用于蛋白酶与激酶、磷脂酶、NADH、GST活性测试；</w:t>
      </w:r>
    </w:p>
    <w:p w14:paraId="57510B6D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3、适用于蛋白质定量分析，支持UV，NanoOrange，Bradford，Lowry等方法；</w:t>
      </w:r>
    </w:p>
    <w:p w14:paraId="24701EEF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4、适用于DNA/RNA分析，支持PicoGreen， RiboGreen方法；</w:t>
      </w:r>
    </w:p>
    <w:p w14:paraId="4F94DC2E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5、适用于报告基因分析；</w:t>
      </w:r>
    </w:p>
    <w:p w14:paraId="7F0F6DA7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6、支持双荧光素酶、碱性磷酸酶、荧光素酶等方法；</w:t>
      </w:r>
    </w:p>
    <w:p w14:paraId="00B6D47B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7、适用于活性氧与ATP分析，cAMP分析；</w:t>
      </w:r>
    </w:p>
    <w:p w14:paraId="0883AE76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8、适用于细胞增殖和细胞毒性测试，MTT，XTT；</w:t>
      </w:r>
    </w:p>
    <w:p w14:paraId="2B29E11F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9、适用于微生物生长、内毒素与细菌浓度分析；</w:t>
      </w:r>
    </w:p>
    <w:p w14:paraId="77B6BEB2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10、可进行光谱扫描；</w:t>
      </w:r>
    </w:p>
    <w:p w14:paraId="6EC56B16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11、激发与发射组件均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≥</w:t>
      </w:r>
      <w:r>
        <w:rPr>
          <w:rFonts w:hint="eastAsia" w:ascii="宋体" w:hAnsi="宋体" w:cs="宋体"/>
          <w:color w:val="000000"/>
          <w:kern w:val="0"/>
          <w:sz w:val="24"/>
        </w:rPr>
        <w:t>12位滤光片轮；</w:t>
      </w:r>
    </w:p>
    <w:p w14:paraId="0A8C2902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12、内置光栅单色器的波长范围为190-1000nm，</w:t>
      </w:r>
    </w:p>
    <w:p w14:paraId="2F66F20B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13、波长分辨率≤1nm，波长重复性可≤0.2nm；</w:t>
      </w:r>
    </w:p>
    <w:p w14:paraId="6AFB0D46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14、具有顶读模式，适合大多数荧光分析；</w:t>
      </w:r>
    </w:p>
    <w:p w14:paraId="7B960F2D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16、具有动力学分析模式，动力学法ELISA，酶学分析；</w:t>
      </w:r>
    </w:p>
    <w:p w14:paraId="5079B4FF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17、具有温控孵育系统，温控范围为室温+3℃-65℃；</w:t>
      </w:r>
    </w:p>
    <w:p w14:paraId="07A94B09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18、带有微孔板振荡混匀功能</w:t>
      </w:r>
    </w:p>
    <w:p w14:paraId="4E569247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19、使用氙灯光源</w:t>
      </w:r>
    </w:p>
    <w:p w14:paraId="31F3D25D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20、自动加液器，用于快速检测；</w:t>
      </w:r>
    </w:p>
    <w:p w14:paraId="3AD2C5BD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21、具有样品检测探测器和参比探测器；</w:t>
      </w:r>
    </w:p>
    <w:p w14:paraId="5AC052C5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22、具有功能强大的数据分析能力的配套软件；</w:t>
      </w:r>
    </w:p>
    <w:p w14:paraId="1867E47F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23、具有仪器参数设置与仪器自检功能，高度自动化；</w:t>
      </w:r>
    </w:p>
    <w:p w14:paraId="5E54D63B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24、使用USB数据接口，便于仪器控制与数据传输；</w:t>
      </w:r>
    </w:p>
    <w:p w14:paraId="61015289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25、全中文界面</w:t>
      </w:r>
    </w:p>
    <w:p w14:paraId="460017FC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</w:p>
    <w:p w14:paraId="13C458D8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荧光性能：</w:t>
      </w:r>
    </w:p>
    <w:p w14:paraId="6A5D1B7E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 探测器：光电倍增管（PMT）</w:t>
      </w:r>
    </w:p>
    <w:p w14:paraId="529F2066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2激发波长范围：320nm-1000nm；</w:t>
      </w:r>
    </w:p>
    <w:p w14:paraId="2FB8B182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 发射波长范围：360nm-800nm；</w:t>
      </w:r>
    </w:p>
    <w:p w14:paraId="2364DE17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 波长分辨率：≤1nm；</w:t>
      </w:r>
    </w:p>
    <w:p w14:paraId="1A79643B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 波长带宽：≤30nm；</w:t>
      </w:r>
    </w:p>
    <w:p w14:paraId="2BDDB997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6波长准确度：&lt;0.2nm；</w:t>
      </w:r>
    </w:p>
    <w:p w14:paraId="3CAA636F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7荧光灵敏度：顶读＜2fmol</w:t>
      </w:r>
    </w:p>
    <w:p w14:paraId="287F6C7C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8 检测数量级：顶读＞ 6个数量级</w:t>
      </w:r>
    </w:p>
    <w:p w14:paraId="5F566438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9 读数方式：顶读</w:t>
      </w:r>
    </w:p>
    <w:p w14:paraId="5279BC29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</w:p>
    <w:p w14:paraId="78AC53A6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化学发光性能：</w:t>
      </w:r>
    </w:p>
    <w:p w14:paraId="44292443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 检测器：光电倍增管（PMT）</w:t>
      </w:r>
    </w:p>
    <w:p w14:paraId="50C5AD6F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2波长范围：270nm-670nm</w:t>
      </w:r>
    </w:p>
    <w:p w14:paraId="617D4706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 灵敏度：＜40amoL ATP/孔</w:t>
      </w:r>
    </w:p>
    <w:p w14:paraId="3768BE05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</w:p>
    <w:p w14:paraId="32A7A7C3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双系统吸收光性能：</w:t>
      </w:r>
    </w:p>
    <w:p w14:paraId="13CCD02A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一、全波长系统</w:t>
      </w:r>
    </w:p>
    <w:p w14:paraId="28BFE2F5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检测器：具有2048CCD阵列功能以上的检测器</w:t>
      </w:r>
    </w:p>
    <w:p w14:paraId="241C9B49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2波长范围：190nm-1000nm</w:t>
      </w:r>
    </w:p>
    <w:p w14:paraId="7A6C8416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3波长准确度：±1.0nm</w:t>
      </w:r>
    </w:p>
    <w:p w14:paraId="465A6718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4波长重复性：&lt;0.2nm</w:t>
      </w:r>
    </w:p>
    <w:p w14:paraId="3785DEA7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 线性范围：0-1.5Abs</w:t>
      </w:r>
    </w:p>
    <w:p w14:paraId="5D973558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</w:p>
    <w:p w14:paraId="43A0D26B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二、12通道光路检测系统</w:t>
      </w:r>
    </w:p>
    <w:p w14:paraId="0170A3FF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 检测器：光电池</w:t>
      </w:r>
    </w:p>
    <w:p w14:paraId="70B446A9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2波长范围：可见光区域</w:t>
      </w:r>
    </w:p>
    <w:p w14:paraId="157BFA40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3波长准确度：±1.0nm</w:t>
      </w:r>
    </w:p>
    <w:p w14:paraId="084A595F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4波长重复性：&lt;0.2nm</w:t>
      </w:r>
    </w:p>
    <w:p w14:paraId="61B8B05C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 线性范围：0-4Abs</w:t>
      </w:r>
    </w:p>
    <w:p w14:paraId="37A18194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</w:p>
    <w:p w14:paraId="0FCF81FD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加液器功能：</w:t>
      </w:r>
    </w:p>
    <w:p w14:paraId="1995971B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 数量： 1-3个</w:t>
      </w:r>
    </w:p>
    <w:p w14:paraId="3BB6679A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 加液体积：4–995µL</w:t>
      </w:r>
    </w:p>
    <w:p w14:paraId="23078517">
      <w:pPr>
        <w:numPr>
          <w:ilvl w:val="0"/>
          <w:numId w:val="0"/>
        </w:numPr>
        <w:spacing w:after="0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7"/>
      <w:pBdr>
        <w:bottom w:val="none" w:color="auto" w:sz="0" w:space="1"/>
      </w:pBdr>
    </w:pPr>
  </w:p>
  <w:p w14:paraId="5A66576F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44965"/>
    <w:multiLevelType w:val="multilevel"/>
    <w:tmpl w:val="55044965"/>
    <w:lvl w:ilvl="0" w:tentative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Zero"/>
      <w:pStyle w:val="3"/>
      <w:suff w:val="space"/>
      <w:lvlText w:val="%1.%2  "/>
      <w:lvlJc w:val="left"/>
      <w:pPr>
        <w:ind w:left="4962" w:firstLine="0"/>
      </w:pPr>
      <w:rPr>
        <w:rFonts w:hint="eastAsia"/>
        <w:color w:val="1D1B11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  <w:color w:val="1D1B11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  <w:color w:val="1D1B11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  <w:color w:val="1D1B11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  <w:color w:val="1D1B11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  <w:color w:val="1D1B11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  <w:color w:val="1D1B11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  <w:color w:val="1D1B1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5151463"/>
    <w:rsid w:val="062C1325"/>
    <w:rsid w:val="073A22F8"/>
    <w:rsid w:val="07B81B6D"/>
    <w:rsid w:val="07E60B27"/>
    <w:rsid w:val="07F14F50"/>
    <w:rsid w:val="0BFE313E"/>
    <w:rsid w:val="0E463ABF"/>
    <w:rsid w:val="10CF5B6E"/>
    <w:rsid w:val="11830882"/>
    <w:rsid w:val="12E82E96"/>
    <w:rsid w:val="12FB5DA0"/>
    <w:rsid w:val="137151BF"/>
    <w:rsid w:val="1379278A"/>
    <w:rsid w:val="142C2C0E"/>
    <w:rsid w:val="14800488"/>
    <w:rsid w:val="15875F52"/>
    <w:rsid w:val="15E806E1"/>
    <w:rsid w:val="162F2EF2"/>
    <w:rsid w:val="1AFD55F7"/>
    <w:rsid w:val="1C6A58C9"/>
    <w:rsid w:val="1E944C8E"/>
    <w:rsid w:val="203C5455"/>
    <w:rsid w:val="21AA129F"/>
    <w:rsid w:val="21F02E95"/>
    <w:rsid w:val="23394FD7"/>
    <w:rsid w:val="25BC1E49"/>
    <w:rsid w:val="26C01E86"/>
    <w:rsid w:val="2A8C0727"/>
    <w:rsid w:val="2B316BDF"/>
    <w:rsid w:val="2C2B5431"/>
    <w:rsid w:val="2D446048"/>
    <w:rsid w:val="2D711103"/>
    <w:rsid w:val="2E2319FE"/>
    <w:rsid w:val="2F8817E4"/>
    <w:rsid w:val="314500CD"/>
    <w:rsid w:val="31AB42A8"/>
    <w:rsid w:val="35F941BF"/>
    <w:rsid w:val="37D34534"/>
    <w:rsid w:val="389A1AD2"/>
    <w:rsid w:val="395F289E"/>
    <w:rsid w:val="3BA40065"/>
    <w:rsid w:val="41A64D43"/>
    <w:rsid w:val="41E1690C"/>
    <w:rsid w:val="421E65B4"/>
    <w:rsid w:val="4307060E"/>
    <w:rsid w:val="443A1C83"/>
    <w:rsid w:val="443E0139"/>
    <w:rsid w:val="44E34970"/>
    <w:rsid w:val="46651DB1"/>
    <w:rsid w:val="47AA2BDE"/>
    <w:rsid w:val="49DF7DA8"/>
    <w:rsid w:val="4D16322E"/>
    <w:rsid w:val="4F6168FA"/>
    <w:rsid w:val="507C07EB"/>
    <w:rsid w:val="528C1291"/>
    <w:rsid w:val="52AC28C2"/>
    <w:rsid w:val="56A95510"/>
    <w:rsid w:val="58913E19"/>
    <w:rsid w:val="58AA2E8C"/>
    <w:rsid w:val="5A652BEC"/>
    <w:rsid w:val="5AC86680"/>
    <w:rsid w:val="5B26349D"/>
    <w:rsid w:val="5B9B684D"/>
    <w:rsid w:val="5BE22353"/>
    <w:rsid w:val="5C8F5E7A"/>
    <w:rsid w:val="5D612426"/>
    <w:rsid w:val="5DEA1D56"/>
    <w:rsid w:val="5E3C0093"/>
    <w:rsid w:val="5EBA113D"/>
    <w:rsid w:val="5EED0FE7"/>
    <w:rsid w:val="612B420C"/>
    <w:rsid w:val="61ED495B"/>
    <w:rsid w:val="62473119"/>
    <w:rsid w:val="62B40E34"/>
    <w:rsid w:val="6A3F27B5"/>
    <w:rsid w:val="6C5B6498"/>
    <w:rsid w:val="6C9F1202"/>
    <w:rsid w:val="6E893313"/>
    <w:rsid w:val="6F1951F7"/>
    <w:rsid w:val="73A1489D"/>
    <w:rsid w:val="75B01B84"/>
    <w:rsid w:val="769B008A"/>
    <w:rsid w:val="76FF4669"/>
    <w:rsid w:val="77DE74AD"/>
    <w:rsid w:val="79580A93"/>
    <w:rsid w:val="797773A6"/>
    <w:rsid w:val="7A1B7E60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4"/>
    <w:next w:val="1"/>
    <w:qFormat/>
    <w:uiPriority w:val="0"/>
    <w:pPr>
      <w:keepNext w:val="0"/>
      <w:keepLines w:val="0"/>
      <w:widowControl w:val="0"/>
      <w:numPr>
        <w:ilvl w:val="1"/>
        <w:numId w:val="1"/>
      </w:numPr>
      <w:tabs>
        <w:tab w:val="left" w:pos="992"/>
      </w:tabs>
      <w:adjustRightInd/>
      <w:spacing w:before="0" w:after="0" w:line="276" w:lineRule="auto"/>
      <w:ind w:left="4961"/>
      <w:outlineLvl w:val="1"/>
    </w:pPr>
    <w:rPr>
      <w:rFonts w:ascii="微软雅黑" w:hAnsi="微软雅黑" w:cs="Arial"/>
      <w:b w:val="0"/>
      <w:bCs w:val="0"/>
      <w:kern w:val="2"/>
      <w:sz w:val="21"/>
      <w:szCs w:val="20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footer"/>
    <w:basedOn w:val="1"/>
    <w:link w:val="1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0"/>
    <w:rPr>
      <w:i/>
    </w:rPr>
  </w:style>
  <w:style w:type="paragraph" w:customStyle="1" w:styleId="14">
    <w:name w:val="首行缩进"/>
    <w:basedOn w:val="1"/>
    <w:qFormat/>
    <w:uiPriority w:val="0"/>
    <w:pPr>
      <w:ind w:firstLine="480" w:firstLineChars="200"/>
    </w:pPr>
  </w:style>
  <w:style w:type="paragraph" w:customStyle="1" w:styleId="15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6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7">
    <w:name w:val="页眉 字符"/>
    <w:basedOn w:val="12"/>
    <w:link w:val="7"/>
    <w:autoRedefine/>
    <w:semiHidden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6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20">
    <w:name w:val="font6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3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24">
    <w:name w:val="Plain Text1"/>
    <w:basedOn w:val="1"/>
    <w:qFormat/>
    <w:uiPriority w:val="0"/>
    <w:rPr>
      <w:rFonts w:ascii="宋体" w:hAnsi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842</Words>
  <Characters>1095</Characters>
  <Lines>18</Lines>
  <Paragraphs>5</Paragraphs>
  <TotalTime>0</TotalTime>
  <ScaleCrop>false</ScaleCrop>
  <LinksUpToDate>false</LinksUpToDate>
  <CharactersWithSpaces>1127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2024-11-04T04:08:06Z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690A5EBA0EB241A99E1DE54414D2742D</vt:lpwstr>
  </property>
</Properties>
</file>