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400" w:lineRule="exact"/>
        <w:jc w:val="center"/>
        <w:textAlignment w:val="auto"/>
      </w:pPr>
      <w:bookmarkStart w:id="0" w:name="OLE_LINK1"/>
      <w:bookmarkStart w:id="1" w:name="OLE_LINK2"/>
      <w:bookmarkStart w:id="2" w:name="_Toc25146"/>
      <w:bookmarkStart w:id="3" w:name="_Toc44229895"/>
      <w:bookmarkStart w:id="4" w:name="_Toc18913"/>
      <w:bookmarkStart w:id="5" w:name="_Toc759"/>
      <w:r>
        <w:rPr>
          <w:rFonts w:hint="eastAsia" w:ascii="宋体" w:hAnsi="宋体" w:cs="宋体"/>
          <w:b/>
          <w:sz w:val="32"/>
          <w:szCs w:val="32"/>
        </w:rPr>
        <w:t>南溪山医院</w:t>
      </w:r>
      <w:r>
        <w:rPr>
          <w:rFonts w:hint="eastAsia" w:ascii="宋体" w:hAnsi="宋体" w:cs="宋体"/>
          <w:b/>
          <w:sz w:val="32"/>
          <w:szCs w:val="32"/>
          <w:lang w:val="en-US" w:eastAsia="zh-CN"/>
        </w:rPr>
        <w:t>公共卫生应急救治中心</w:t>
      </w:r>
      <w:r>
        <w:rPr>
          <w:rFonts w:hint="eastAsia" w:ascii="宋体" w:hAnsi="宋体" w:cs="宋体"/>
          <w:b/>
          <w:sz w:val="32"/>
          <w:szCs w:val="32"/>
        </w:rPr>
        <w:t>污水处理系统运营维护</w:t>
      </w:r>
      <w:r>
        <w:rPr>
          <w:rFonts w:hint="eastAsia" w:ascii="宋体" w:hAnsi="宋体" w:cs="宋体"/>
          <w:b/>
          <w:sz w:val="32"/>
          <w:szCs w:val="32"/>
          <w:lang w:val="en-US" w:eastAsia="zh-CN"/>
        </w:rPr>
        <w:t>服务</w:t>
      </w:r>
      <w:bookmarkEnd w:id="0"/>
      <w:bookmarkEnd w:id="1"/>
      <w:r>
        <w:rPr>
          <w:rFonts w:hint="eastAsia" w:ascii="宋体" w:hAnsi="宋体" w:cs="宋体"/>
          <w:b/>
          <w:sz w:val="32"/>
          <w:szCs w:val="32"/>
          <w:lang w:val="en-US" w:eastAsia="zh-CN"/>
        </w:rPr>
        <w:t>采购需求</w:t>
      </w:r>
      <w:bookmarkEnd w:id="2"/>
      <w:bookmarkEnd w:id="3"/>
      <w:bookmarkEnd w:id="4"/>
      <w:bookmarkEnd w:id="5"/>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665"/>
        <w:gridCol w:w="1535"/>
        <w:gridCol w:w="944"/>
        <w:gridCol w:w="5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323" w:type="dxa"/>
            <w:gridSpan w:val="5"/>
            <w:vAlign w:val="center"/>
          </w:tcPr>
          <w:p>
            <w:pPr>
              <w:snapToGrid w:val="0"/>
              <w:spacing w:line="360" w:lineRule="auto"/>
              <w:rPr>
                <w:rFonts w:ascii="宋体" w:hAnsi="宋体" w:cs="宋体"/>
                <w:b/>
                <w:bCs/>
                <w:szCs w:val="21"/>
              </w:rPr>
            </w:pPr>
            <w:r>
              <w:rPr>
                <w:rFonts w:hint="eastAsia" w:ascii="宋体" w:hAnsi="宋体" w:cs="宋体"/>
                <w:b/>
                <w:bCs/>
                <w:szCs w:val="21"/>
              </w:rPr>
              <w:t>一、项目要求及服务需求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84" w:type="dxa"/>
            <w:vAlign w:val="center"/>
          </w:tcPr>
          <w:p>
            <w:pPr>
              <w:snapToGrid w:val="0"/>
              <w:spacing w:line="360" w:lineRule="auto"/>
              <w:jc w:val="center"/>
              <w:rPr>
                <w:rFonts w:ascii="宋体" w:hAnsi="宋体" w:cs="宋体"/>
                <w:b/>
                <w:szCs w:val="21"/>
              </w:rPr>
            </w:pPr>
            <w:r>
              <w:rPr>
                <w:rFonts w:hint="eastAsia" w:ascii="宋体" w:hAnsi="宋体" w:cs="宋体"/>
                <w:b/>
                <w:szCs w:val="21"/>
              </w:rPr>
              <w:t>项号</w:t>
            </w:r>
          </w:p>
        </w:tc>
        <w:tc>
          <w:tcPr>
            <w:tcW w:w="2200" w:type="dxa"/>
            <w:gridSpan w:val="2"/>
            <w:vAlign w:val="center"/>
          </w:tcPr>
          <w:p>
            <w:pPr>
              <w:snapToGrid w:val="0"/>
              <w:spacing w:line="360" w:lineRule="auto"/>
              <w:jc w:val="center"/>
              <w:rPr>
                <w:rFonts w:ascii="宋体" w:hAnsi="宋体" w:cs="宋体"/>
                <w:b/>
                <w:szCs w:val="21"/>
              </w:rPr>
            </w:pPr>
            <w:r>
              <w:rPr>
                <w:rFonts w:hint="eastAsia" w:ascii="宋体" w:hAnsi="宋体" w:cs="宋体"/>
                <w:b/>
                <w:szCs w:val="21"/>
              </w:rPr>
              <w:t>采购内容</w:t>
            </w:r>
          </w:p>
        </w:tc>
        <w:tc>
          <w:tcPr>
            <w:tcW w:w="944" w:type="dxa"/>
            <w:vAlign w:val="center"/>
          </w:tcPr>
          <w:p>
            <w:pPr>
              <w:snapToGrid w:val="0"/>
              <w:spacing w:line="360" w:lineRule="auto"/>
              <w:jc w:val="center"/>
              <w:rPr>
                <w:rFonts w:ascii="宋体" w:hAnsi="宋体" w:cs="宋体"/>
                <w:b/>
                <w:szCs w:val="21"/>
              </w:rPr>
            </w:pPr>
            <w:r>
              <w:rPr>
                <w:rFonts w:hint="eastAsia" w:ascii="宋体" w:hAnsi="宋体" w:cs="宋体"/>
                <w:b/>
                <w:szCs w:val="21"/>
              </w:rPr>
              <w:t>单位及数量</w:t>
            </w:r>
          </w:p>
        </w:tc>
        <w:tc>
          <w:tcPr>
            <w:tcW w:w="5595" w:type="dxa"/>
            <w:vAlign w:val="center"/>
          </w:tcPr>
          <w:p>
            <w:pPr>
              <w:snapToGrid w:val="0"/>
              <w:spacing w:line="360" w:lineRule="auto"/>
              <w:jc w:val="center"/>
              <w:rPr>
                <w:rFonts w:ascii="宋体" w:hAnsi="宋体" w:cs="宋体"/>
                <w:b/>
                <w:szCs w:val="21"/>
              </w:rPr>
            </w:pPr>
            <w:r>
              <w:rPr>
                <w:rFonts w:hint="eastAsia"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584" w:type="dxa"/>
            <w:vAlign w:val="center"/>
          </w:tcPr>
          <w:p>
            <w:pPr>
              <w:snapToGrid w:val="0"/>
              <w:spacing w:line="360" w:lineRule="auto"/>
              <w:jc w:val="center"/>
              <w:rPr>
                <w:rFonts w:ascii="宋体" w:hAnsi="宋体" w:cs="宋体"/>
                <w:szCs w:val="21"/>
              </w:rPr>
            </w:pPr>
            <w:r>
              <w:rPr>
                <w:rFonts w:hint="eastAsia" w:ascii="宋体" w:hAnsi="宋体" w:cs="宋体"/>
                <w:szCs w:val="21"/>
              </w:rPr>
              <w:t>1</w:t>
            </w:r>
          </w:p>
        </w:tc>
        <w:tc>
          <w:tcPr>
            <w:tcW w:w="2200" w:type="dxa"/>
            <w:gridSpan w:val="2"/>
            <w:vAlign w:val="center"/>
          </w:tcPr>
          <w:p>
            <w:pPr>
              <w:snapToGrid w:val="0"/>
              <w:spacing w:line="360" w:lineRule="auto"/>
              <w:rPr>
                <w:rFonts w:ascii="宋体" w:hAnsi="宋体" w:cs="宋体"/>
                <w:szCs w:val="21"/>
              </w:rPr>
            </w:pPr>
            <w:r>
              <w:rPr>
                <w:rFonts w:hint="eastAsia" w:ascii="宋体" w:hAnsi="宋体" w:cs="宋体"/>
                <w:szCs w:val="21"/>
              </w:rPr>
              <w:t>广西壮族自治区南溪山医院</w:t>
            </w:r>
            <w:r>
              <w:rPr>
                <w:rFonts w:hint="eastAsia" w:ascii="宋体" w:hAnsi="宋体" w:cs="宋体"/>
                <w:szCs w:val="21"/>
                <w:lang w:val="en-US" w:eastAsia="zh-CN"/>
              </w:rPr>
              <w:t>公共卫生应急救治中心</w:t>
            </w:r>
            <w:r>
              <w:rPr>
                <w:rFonts w:hint="eastAsia" w:ascii="宋体" w:hAnsi="宋体" w:cs="宋体"/>
                <w:szCs w:val="21"/>
              </w:rPr>
              <w:t>污水处理系统运营维护服务</w:t>
            </w:r>
          </w:p>
        </w:tc>
        <w:tc>
          <w:tcPr>
            <w:tcW w:w="944" w:type="dxa"/>
            <w:vAlign w:val="center"/>
          </w:tcPr>
          <w:p>
            <w:pPr>
              <w:snapToGrid w:val="0"/>
              <w:spacing w:line="360" w:lineRule="auto"/>
              <w:jc w:val="center"/>
              <w:rPr>
                <w:rFonts w:ascii="宋体" w:hAnsi="宋体" w:cs="宋体"/>
                <w:szCs w:val="21"/>
              </w:rPr>
            </w:pPr>
            <w:r>
              <w:rPr>
                <w:rFonts w:hint="eastAsia" w:ascii="宋体" w:hAnsi="宋体" w:cs="宋体"/>
                <w:szCs w:val="21"/>
              </w:rPr>
              <w:t>1</w:t>
            </w:r>
            <w:r>
              <w:rPr>
                <w:rFonts w:hint="eastAsia" w:ascii="宋体" w:hAnsi="宋体" w:cs="宋体"/>
                <w:bCs/>
                <w:szCs w:val="21"/>
              </w:rPr>
              <w:t>项</w:t>
            </w:r>
          </w:p>
        </w:tc>
        <w:tc>
          <w:tcPr>
            <w:tcW w:w="5595" w:type="dxa"/>
            <w:vAlign w:val="center"/>
          </w:tcPr>
          <w:p>
            <w:pPr>
              <w:spacing w:line="360" w:lineRule="auto"/>
              <w:jc w:val="left"/>
              <w:rPr>
                <w:rFonts w:ascii="宋体" w:hAnsi="宋体" w:cs="宋体"/>
                <w:szCs w:val="21"/>
              </w:rPr>
            </w:pPr>
            <w:r>
              <w:rPr>
                <w:rFonts w:hint="eastAsia" w:ascii="宋体" w:hAnsi="宋体" w:cs="宋体"/>
                <w:kern w:val="0"/>
                <w:szCs w:val="21"/>
              </w:rPr>
              <w:t>广西壮族自治区南溪山医院</w:t>
            </w:r>
            <w:r>
              <w:rPr>
                <w:rFonts w:hint="eastAsia" w:ascii="宋体" w:hAnsi="宋体" w:cs="宋体"/>
                <w:szCs w:val="21"/>
                <w:lang w:val="en-US" w:eastAsia="zh-CN"/>
              </w:rPr>
              <w:t>公共卫生应急救治中心</w:t>
            </w:r>
            <w:r>
              <w:rPr>
                <w:rFonts w:hint="eastAsia" w:ascii="宋体" w:hAnsi="宋体" w:cs="宋体"/>
                <w:kern w:val="0"/>
                <w:szCs w:val="21"/>
              </w:rPr>
              <w:t>污水处理系统运营维护服务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784" w:type="dxa"/>
            <w:gridSpan w:val="3"/>
            <w:vAlign w:val="center"/>
          </w:tcPr>
          <w:p>
            <w:pPr>
              <w:pStyle w:val="4"/>
              <w:snapToGrid w:val="0"/>
              <w:spacing w:line="360" w:lineRule="auto"/>
              <w:ind w:firstLine="422" w:firstLineChars="200"/>
              <w:jc w:val="center"/>
              <w:outlineLvl w:val="0"/>
              <w:rPr>
                <w:rFonts w:hAnsi="宋体" w:cs="宋体"/>
                <w:b/>
                <w:bCs/>
              </w:rPr>
            </w:pPr>
            <w:bookmarkStart w:id="6" w:name="_Toc5174"/>
            <w:bookmarkStart w:id="7" w:name="_Toc9482"/>
            <w:bookmarkStart w:id="8" w:name="_Toc1636"/>
            <w:r>
              <w:rPr>
                <w:rFonts w:hint="eastAsia" w:hAnsi="宋体" w:cs="宋体"/>
                <w:b/>
                <w:bCs/>
              </w:rPr>
              <w:t>污水排放执行标准</w:t>
            </w:r>
            <w:bookmarkEnd w:id="6"/>
            <w:bookmarkEnd w:id="7"/>
            <w:bookmarkEnd w:id="8"/>
          </w:p>
        </w:tc>
        <w:tc>
          <w:tcPr>
            <w:tcW w:w="6539" w:type="dxa"/>
            <w:gridSpan w:val="2"/>
            <w:vAlign w:val="center"/>
          </w:tcPr>
          <w:p>
            <w:pPr>
              <w:snapToGrid w:val="0"/>
              <w:spacing w:line="360" w:lineRule="auto"/>
              <w:jc w:val="left"/>
              <w:rPr>
                <w:rFonts w:ascii="宋体" w:hAnsi="宋体" w:cs="宋体"/>
                <w:szCs w:val="21"/>
              </w:rPr>
            </w:pPr>
            <w:r>
              <w:rPr>
                <w:rFonts w:hint="eastAsia" w:ascii="宋体" w:hAnsi="宋体" w:cs="宋体"/>
                <w:szCs w:val="21"/>
              </w:rPr>
              <w:t>必须达到《医疗机构水污染排放标准》（GB118466-2005），并通过桂林市环保部门测评。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5" w:hRule="atLeast"/>
          <w:jc w:val="center"/>
        </w:trPr>
        <w:tc>
          <w:tcPr>
            <w:tcW w:w="2784" w:type="dxa"/>
            <w:gridSpan w:val="3"/>
            <w:vAlign w:val="center"/>
          </w:tcPr>
          <w:p>
            <w:pPr>
              <w:snapToGrid w:val="0"/>
              <w:spacing w:line="360" w:lineRule="auto"/>
              <w:jc w:val="center"/>
              <w:outlineLvl w:val="0"/>
              <w:rPr>
                <w:rFonts w:ascii="宋体" w:hAnsi="宋体" w:cs="宋体"/>
                <w:b/>
                <w:bCs/>
                <w:szCs w:val="21"/>
              </w:rPr>
            </w:pPr>
            <w:bookmarkStart w:id="9" w:name="_Toc25542"/>
            <w:r>
              <w:rPr>
                <w:rFonts w:hint="eastAsia" w:ascii="宋体" w:hAnsi="宋体" w:cs="宋体"/>
                <w:b/>
                <w:bCs/>
                <w:szCs w:val="21"/>
              </w:rPr>
              <w:t>服务要求</w:t>
            </w:r>
            <w:bookmarkEnd w:id="9"/>
          </w:p>
        </w:tc>
        <w:tc>
          <w:tcPr>
            <w:tcW w:w="6539" w:type="dxa"/>
            <w:gridSpan w:val="2"/>
            <w:vAlign w:val="center"/>
          </w:tcPr>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1.环境要求</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污水处理设备室内应保持干燥、通风，不能采用自然通风的，应采用机械通风管理。</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2.管理要求</w:t>
            </w:r>
          </w:p>
          <w:p>
            <w:pPr>
              <w:widowControl/>
              <w:shd w:val="clear" w:color="auto" w:fill="FFFFFF"/>
              <w:spacing w:line="360" w:lineRule="auto"/>
              <w:ind w:firstLine="420" w:firstLineChars="200"/>
              <w:rPr>
                <w:rFonts w:ascii="宋体" w:hAnsi="宋体" w:cs="宋体"/>
                <w:kern w:val="0"/>
                <w:szCs w:val="21"/>
              </w:rPr>
            </w:pPr>
            <w:r>
              <w:rPr>
                <w:rFonts w:hint="eastAsia" w:ascii="宋体" w:hAnsi="宋体" w:cs="宋体"/>
                <w:kern w:val="0"/>
                <w:szCs w:val="21"/>
              </w:rPr>
              <w:t>2.1污水处理站新建、改建或扩建后，应取得环保部门或符合环保部门要求的第三方机构出具的竣工验收报告。</w:t>
            </w:r>
          </w:p>
          <w:p>
            <w:pPr>
              <w:widowControl/>
              <w:shd w:val="clear" w:color="auto" w:fill="FFFFFF"/>
              <w:spacing w:line="360" w:lineRule="auto"/>
              <w:ind w:firstLine="420" w:firstLineChars="200"/>
              <w:rPr>
                <w:rFonts w:ascii="宋体" w:hAnsi="宋体" w:cs="宋体"/>
                <w:kern w:val="0"/>
                <w:szCs w:val="21"/>
              </w:rPr>
            </w:pPr>
            <w:r>
              <w:rPr>
                <w:rFonts w:hint="eastAsia" w:ascii="宋体" w:hAnsi="宋体" w:cs="宋体"/>
                <w:kern w:val="0"/>
                <w:szCs w:val="21"/>
              </w:rPr>
              <w:t>2.2污水处理站新建、改建或扩建必须符合采购人审批通过的污水处理设施设计要求。</w:t>
            </w:r>
          </w:p>
          <w:p>
            <w:pPr>
              <w:widowControl/>
              <w:shd w:val="clear" w:color="auto" w:fill="FFFFFF"/>
              <w:spacing w:line="360" w:lineRule="auto"/>
              <w:ind w:firstLine="420" w:firstLineChars="200"/>
              <w:rPr>
                <w:rFonts w:ascii="宋体" w:hAnsi="宋体" w:cs="宋体"/>
                <w:kern w:val="0"/>
                <w:szCs w:val="21"/>
              </w:rPr>
            </w:pPr>
            <w:r>
              <w:rPr>
                <w:rFonts w:hint="eastAsia" w:ascii="宋体" w:hAnsi="宋体" w:cs="宋体"/>
                <w:kern w:val="0"/>
                <w:szCs w:val="21"/>
              </w:rPr>
              <w:t>2.3污水处理站新建、改建或扩建的设备，必须安装、调试或试运行合格，并取得当地环保部门环评审批后，方可投入运行。</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2.4污水处理管理纳入医院总务部门管理。</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2.5次氯酸钠等应存放在专用袋（箱、桶）内，标识明确，注意防滴漏。</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2.6严禁将未作处理的上述污水直接排放。</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3.污水处理人员</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3.1培训：负责污水处理人员上岗前必须进行岗前培训，内容包括无水水质特征及危害、消毒知识、污水检测方法、仪器设备操作和日常维护等。</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3.2职业防护：为工作人员配备工作服、手套、防水鞋、面罩或护目镜、防水围裙。</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4.日常监测</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4.1每日上班后仔细巡查污水处理系统，无异常情况后按照操作规程处理污水。</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4.2每日做好设备运行及故障发生、排除等情况的记录。设备运行情况包括运转时间、处理水量、消毒剂消耗量、余氯检测次数、检测结果等；故障情况包括故障时间、故障主要情况、故障处理结果等。</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4.3每日在排放口测定排放的余氯总浓度，PH值，上、下午各一次，如因暴雨、疫情或上级要求等突发情况，需增加监测次数，并记录备查；采用间歇式消毒处理的，每日排放前监测。可以采用余氯测试装置或测试卡，方法参照产品说明书；监测表见附件。</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4.4设有传染病或结核病科室的污水处理需按相关要求单独分开；并严格按照传染病、结核病医疗机构要求监测操作。</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4.5协助完成每月监测一次粪大肠菌群，每季度监测一次沙门菌，每半年监测一次志贺菌，存档备查。</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4.6监测操作时应做好个人防护，重点做好手部与面部防护，采集污水时戴手套，操作后洗手或手消毒。</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4.7每季度清理格栅渣，漂浮物，化粪池或沉淀池的清理运输及处置，需提供有资质的第三方处置公司清运联单记录。</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4.8协助完成每季度第三方环保公司排污管理平台的监测。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jc w:val="center"/>
        </w:trPr>
        <w:tc>
          <w:tcPr>
            <w:tcW w:w="9323" w:type="dxa"/>
            <w:gridSpan w:val="5"/>
            <w:vAlign w:val="center"/>
          </w:tcPr>
          <w:p>
            <w:pPr>
              <w:snapToGrid w:val="0"/>
              <w:spacing w:line="360" w:lineRule="auto"/>
              <w:rPr>
                <w:rFonts w:ascii="宋体" w:hAnsi="宋体" w:cs="宋体"/>
                <w:b/>
                <w:bCs/>
                <w:szCs w:val="21"/>
              </w:rPr>
            </w:pPr>
            <w:r>
              <w:rPr>
                <w:rFonts w:hint="eastAsia" w:ascii="宋体" w:hAnsi="宋体" w:cs="宋体"/>
                <w:b/>
                <w:bCs/>
                <w:szCs w:val="21"/>
              </w:rPr>
              <w:t>二、商务要求表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249" w:type="dxa"/>
            <w:gridSpan w:val="2"/>
            <w:vAlign w:val="center"/>
          </w:tcPr>
          <w:p>
            <w:pPr>
              <w:snapToGrid w:val="0"/>
              <w:spacing w:line="360" w:lineRule="auto"/>
              <w:jc w:val="center"/>
              <w:rPr>
                <w:rFonts w:ascii="宋体" w:hAnsi="宋体" w:cs="宋体"/>
                <w:b/>
                <w:bCs/>
                <w:szCs w:val="21"/>
              </w:rPr>
            </w:pPr>
            <w:r>
              <w:rPr>
                <w:rFonts w:hint="eastAsia" w:ascii="宋体" w:hAnsi="宋体" w:cs="宋体"/>
                <w:b/>
                <w:bCs/>
                <w:szCs w:val="21"/>
              </w:rPr>
              <w:t>服务期</w:t>
            </w:r>
          </w:p>
        </w:tc>
        <w:tc>
          <w:tcPr>
            <w:tcW w:w="8074" w:type="dxa"/>
            <w:gridSpan w:val="3"/>
            <w:vAlign w:val="center"/>
          </w:tcPr>
          <w:p>
            <w:pPr>
              <w:snapToGrid w:val="0"/>
              <w:spacing w:line="360" w:lineRule="auto"/>
              <w:jc w:val="left"/>
              <w:rPr>
                <w:rFonts w:ascii="宋体" w:hAnsi="宋体" w:cs="宋体"/>
                <w:szCs w:val="21"/>
              </w:rPr>
            </w:pPr>
            <w:r>
              <w:rPr>
                <w:rFonts w:hint="eastAsia" w:ascii="宋体" w:hAnsi="宋体" w:cs="宋体"/>
                <w:szCs w:val="21"/>
              </w:rPr>
              <w:t>签订合同之日起二年。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249" w:type="dxa"/>
            <w:gridSpan w:val="2"/>
            <w:vAlign w:val="center"/>
          </w:tcPr>
          <w:p>
            <w:pPr>
              <w:snapToGrid w:val="0"/>
              <w:spacing w:line="360" w:lineRule="auto"/>
              <w:jc w:val="center"/>
              <w:rPr>
                <w:rFonts w:ascii="宋体" w:hAnsi="宋体" w:cs="宋体"/>
                <w:b/>
                <w:bCs/>
                <w:szCs w:val="21"/>
              </w:rPr>
            </w:pPr>
            <w:r>
              <w:rPr>
                <w:rFonts w:hint="eastAsia" w:ascii="宋体" w:hAnsi="宋体" w:cs="宋体"/>
                <w:b/>
                <w:szCs w:val="21"/>
              </w:rPr>
              <w:t>合同运营服务范围</w:t>
            </w:r>
          </w:p>
        </w:tc>
        <w:tc>
          <w:tcPr>
            <w:tcW w:w="8074" w:type="dxa"/>
            <w:gridSpan w:val="3"/>
            <w:vAlign w:val="center"/>
          </w:tcPr>
          <w:p>
            <w:pPr>
              <w:widowControl/>
              <w:shd w:val="clear" w:color="auto" w:fill="FFFFFF"/>
              <w:tabs>
                <w:tab w:val="left" w:pos="0"/>
              </w:tabs>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1.负责派遣操作人员操作运行全套污水处理系统，操作人员需经过相关部门考核，取得污水处理设施操作职业资格证，并且全年在岗，一天上班时间8小时工作制，如工作时间外，出现问题必须一小时内到现场。</w:t>
            </w:r>
          </w:p>
          <w:p>
            <w:pPr>
              <w:widowControl/>
              <w:shd w:val="clear" w:color="auto" w:fill="FFFFFF"/>
              <w:tabs>
                <w:tab w:val="left" w:pos="0"/>
              </w:tabs>
              <w:spacing w:line="360" w:lineRule="auto"/>
              <w:ind w:firstLine="420" w:firstLineChars="200"/>
              <w:jc w:val="left"/>
              <w:rPr>
                <w:rFonts w:ascii="宋体" w:hAnsi="宋体" w:cs="宋体"/>
                <w:kern w:val="0"/>
                <w:szCs w:val="21"/>
              </w:rPr>
            </w:pPr>
            <w:r>
              <w:rPr>
                <w:rFonts w:hint="eastAsia" w:ascii="宋体" w:hAnsi="宋体" w:cs="宋体"/>
                <w:kern w:val="0"/>
                <w:szCs w:val="21"/>
              </w:rPr>
              <w:t>2.负责污水处理所需药剂的采购、运输、保管，按时按量规范加投药剂，必须提供投入药剂的生产合格证等相关证明，并做好记录。</w:t>
            </w:r>
          </w:p>
          <w:p>
            <w:pPr>
              <w:widowControl/>
              <w:shd w:val="clear" w:color="auto" w:fill="FFFFFF"/>
              <w:tabs>
                <w:tab w:val="left" w:pos="0"/>
              </w:tabs>
              <w:spacing w:line="360" w:lineRule="auto"/>
              <w:ind w:firstLine="420" w:firstLineChars="200"/>
              <w:jc w:val="left"/>
              <w:rPr>
                <w:rFonts w:ascii="宋体" w:hAnsi="宋体" w:cs="宋体"/>
                <w:kern w:val="0"/>
                <w:szCs w:val="21"/>
              </w:rPr>
            </w:pPr>
            <w:r>
              <w:rPr>
                <w:rFonts w:hint="eastAsia" w:ascii="宋体" w:hAnsi="宋体" w:cs="宋体"/>
                <w:kern w:val="0"/>
                <w:szCs w:val="21"/>
              </w:rPr>
              <w:t>3.负责做好日常余氯、PH值的监测并做好记录。</w:t>
            </w:r>
          </w:p>
          <w:p>
            <w:pPr>
              <w:widowControl/>
              <w:shd w:val="clear" w:color="auto" w:fill="FFFFFF"/>
              <w:tabs>
                <w:tab w:val="left" w:pos="0"/>
              </w:tabs>
              <w:spacing w:line="360" w:lineRule="auto"/>
              <w:ind w:firstLine="420" w:firstLineChars="200"/>
              <w:jc w:val="left"/>
              <w:rPr>
                <w:rFonts w:ascii="宋体" w:hAnsi="宋体" w:cs="宋体"/>
                <w:kern w:val="0"/>
                <w:szCs w:val="21"/>
              </w:rPr>
            </w:pPr>
            <w:r>
              <w:rPr>
                <w:rFonts w:hint="eastAsia" w:ascii="宋体" w:hAnsi="宋体" w:cs="宋体"/>
                <w:kern w:val="0"/>
                <w:szCs w:val="21"/>
              </w:rPr>
              <w:t>4.负责污水处理设备的日常保养、维修，制定相关设备如风机，水泵等保养、检修计划及记录。</w:t>
            </w:r>
          </w:p>
          <w:p>
            <w:pPr>
              <w:widowControl/>
              <w:shd w:val="clear" w:color="auto" w:fill="FFFFFF"/>
              <w:tabs>
                <w:tab w:val="left" w:pos="0"/>
              </w:tabs>
              <w:spacing w:line="360" w:lineRule="auto"/>
              <w:ind w:firstLine="420" w:firstLineChars="200"/>
              <w:jc w:val="left"/>
              <w:rPr>
                <w:rFonts w:ascii="宋体" w:hAnsi="宋体" w:cs="宋体"/>
                <w:kern w:val="0"/>
                <w:szCs w:val="21"/>
              </w:rPr>
            </w:pPr>
            <w:r>
              <w:rPr>
                <w:rFonts w:hint="eastAsia" w:ascii="宋体" w:hAnsi="宋体" w:cs="宋体"/>
                <w:kern w:val="0"/>
                <w:szCs w:val="21"/>
              </w:rPr>
              <w:t>5.当国家有关法规、污水处理排放标准或环保主管部门的要求发生变化时，需负责及时调整设备（包括新增设备）以保证符合国家有关法规、污水处理排放标准或环保主管部门的要求。</w:t>
            </w:r>
          </w:p>
          <w:p>
            <w:pPr>
              <w:widowControl/>
              <w:shd w:val="clear" w:color="auto" w:fill="FFFFFF"/>
              <w:tabs>
                <w:tab w:val="left" w:pos="0"/>
              </w:tabs>
              <w:spacing w:line="360" w:lineRule="auto"/>
              <w:ind w:firstLine="420" w:firstLineChars="200"/>
              <w:jc w:val="left"/>
              <w:rPr>
                <w:rFonts w:ascii="宋体" w:hAnsi="宋体" w:cs="宋体"/>
                <w:kern w:val="0"/>
                <w:szCs w:val="21"/>
              </w:rPr>
            </w:pPr>
            <w:r>
              <w:rPr>
                <w:rFonts w:hint="eastAsia" w:ascii="宋体" w:hAnsi="宋体" w:cs="宋体"/>
                <w:kern w:val="0"/>
                <w:szCs w:val="21"/>
              </w:rPr>
              <w:t>6.当医院规模扩大，污水量增加时，负责及时添置新设备，以保证医疗污水正常处理和排放；新增设备如加药机、水泵、电控等设备必须满足污水处理要求，已实际污水处理达标为准。</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7.负责整理好相关资料以备环保等部门检查时现场查看资料、解答、汇报工作。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249" w:type="dxa"/>
            <w:gridSpan w:val="2"/>
            <w:vAlign w:val="center"/>
          </w:tcPr>
          <w:p>
            <w:pPr>
              <w:snapToGrid w:val="0"/>
              <w:spacing w:line="360" w:lineRule="auto"/>
              <w:jc w:val="center"/>
              <w:rPr>
                <w:rFonts w:ascii="宋体" w:hAnsi="宋体" w:cs="宋体"/>
                <w:b/>
                <w:bCs/>
                <w:szCs w:val="21"/>
              </w:rPr>
            </w:pPr>
            <w:r>
              <w:rPr>
                <w:rFonts w:hint="eastAsia" w:ascii="宋体" w:hAnsi="宋体" w:cs="宋体"/>
                <w:b/>
                <w:szCs w:val="21"/>
              </w:rPr>
              <w:t>运营和维护的基本原则</w:t>
            </w:r>
          </w:p>
        </w:tc>
        <w:tc>
          <w:tcPr>
            <w:tcW w:w="8074" w:type="dxa"/>
            <w:gridSpan w:val="3"/>
          </w:tcPr>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在整个运营期，成交人应根据本合同的规定，自行承担费用和风险，管理、运营和维护污水处理设施。成交人应确保在整个运营期内，始终根据下列规定运营并维护污水处理项目设施：</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(a)企业运行必须严格执行国家和地方现行有关法律法规，污水处理必须符合有关法律法规、标准、规范和本项目有关批准文件的要求。</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(b)企业运营必须严格执行有关质量保证、质量控制和安全生产的要求。</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(c)企业运行必须严格遵照运行维护手册以及污水处理项目内设备制造商提供的说明手册和指导。</w:t>
            </w:r>
          </w:p>
          <w:p>
            <w:pPr>
              <w:widowControl/>
              <w:shd w:val="clear" w:color="auto" w:fill="FFFFFF"/>
              <w:spacing w:line="360" w:lineRule="auto"/>
              <w:ind w:firstLine="420" w:firstLineChars="200"/>
              <w:jc w:val="left"/>
              <w:rPr>
                <w:rFonts w:ascii="宋体" w:hAnsi="宋体" w:cs="宋体"/>
                <w:szCs w:val="21"/>
              </w:rPr>
            </w:pPr>
            <w:r>
              <w:rPr>
                <w:rFonts w:hint="eastAsia" w:ascii="宋体" w:hAnsi="宋体" w:cs="宋体"/>
                <w:kern w:val="0"/>
                <w:szCs w:val="21"/>
              </w:rPr>
              <w:t>（d）成交人应确保污水处理项目设施始终处于良好营运状态并能够安全稳定地处理污水和污泥，使其达到排放标准，大气污染物和噪声满足环保要求。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249" w:type="dxa"/>
            <w:gridSpan w:val="2"/>
            <w:vAlign w:val="center"/>
          </w:tcPr>
          <w:p>
            <w:pPr>
              <w:snapToGrid w:val="0"/>
              <w:spacing w:line="360" w:lineRule="auto"/>
              <w:jc w:val="center"/>
              <w:rPr>
                <w:rFonts w:ascii="宋体" w:hAnsi="宋体" w:cs="宋体"/>
                <w:b/>
                <w:szCs w:val="21"/>
              </w:rPr>
            </w:pPr>
            <w:r>
              <w:rPr>
                <w:rFonts w:hint="eastAsia" w:ascii="宋体" w:hAnsi="宋体" w:cs="宋体"/>
                <w:b/>
                <w:szCs w:val="21"/>
              </w:rPr>
              <w:t>污水处理范围</w:t>
            </w:r>
          </w:p>
        </w:tc>
        <w:tc>
          <w:tcPr>
            <w:tcW w:w="8074" w:type="dxa"/>
            <w:gridSpan w:val="3"/>
          </w:tcPr>
          <w:p>
            <w:pPr>
              <w:widowControl/>
              <w:shd w:val="clear" w:color="auto" w:fill="FFFFFF"/>
              <w:spacing w:line="360" w:lineRule="auto"/>
              <w:ind w:firstLine="420" w:firstLineChars="200"/>
              <w:jc w:val="left"/>
              <w:rPr>
                <w:rFonts w:ascii="宋体" w:hAnsi="宋体" w:cs="宋体"/>
                <w:szCs w:val="21"/>
              </w:rPr>
            </w:pPr>
            <w:r>
              <w:rPr>
                <w:rFonts w:hint="eastAsia" w:ascii="宋体" w:hAnsi="宋体" w:cs="宋体"/>
                <w:kern w:val="0"/>
                <w:szCs w:val="21"/>
              </w:rPr>
              <w:t>在合同运营服务期内，成交人应只对采购人收集的污水提供处理。未经采购人事先书面同意，不得接受任何第三方的污水进行处理（污水处理项目自身产生的污水除外）。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249" w:type="dxa"/>
            <w:gridSpan w:val="2"/>
            <w:vAlign w:val="center"/>
          </w:tcPr>
          <w:p>
            <w:pPr>
              <w:snapToGrid w:val="0"/>
              <w:spacing w:line="360" w:lineRule="auto"/>
              <w:jc w:val="center"/>
              <w:rPr>
                <w:rFonts w:ascii="宋体" w:hAnsi="宋体" w:cs="宋体"/>
                <w:b/>
                <w:szCs w:val="21"/>
              </w:rPr>
            </w:pPr>
            <w:r>
              <w:rPr>
                <w:rFonts w:hint="eastAsia" w:ascii="宋体" w:hAnsi="宋体" w:cs="宋体"/>
                <w:b/>
                <w:szCs w:val="21"/>
              </w:rPr>
              <w:t>采购人的主要责任</w:t>
            </w:r>
          </w:p>
        </w:tc>
        <w:tc>
          <w:tcPr>
            <w:tcW w:w="8074" w:type="dxa"/>
            <w:gridSpan w:val="3"/>
          </w:tcPr>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1.采购人应确保在整个合同运营服务期内，收集和输送污水至污水处理项目交付点。</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2.在整个合同运营服务期内，应督促成交人认真执行国家行业标准、行业管理部门和地方政府的相关规定以及本合同规定的出水质量标准。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249" w:type="dxa"/>
            <w:gridSpan w:val="2"/>
            <w:vAlign w:val="center"/>
          </w:tcPr>
          <w:p>
            <w:pPr>
              <w:snapToGrid w:val="0"/>
              <w:spacing w:line="360" w:lineRule="auto"/>
              <w:jc w:val="center"/>
              <w:rPr>
                <w:rFonts w:ascii="宋体" w:hAnsi="宋体" w:cs="宋体"/>
                <w:b/>
                <w:szCs w:val="21"/>
              </w:rPr>
            </w:pPr>
            <w:r>
              <w:rPr>
                <w:rFonts w:hint="eastAsia" w:ascii="宋体" w:hAnsi="宋体" w:cs="宋体"/>
                <w:b/>
                <w:szCs w:val="21"/>
              </w:rPr>
              <w:t>成交人的主要责任</w:t>
            </w:r>
          </w:p>
        </w:tc>
        <w:tc>
          <w:tcPr>
            <w:tcW w:w="8074" w:type="dxa"/>
            <w:gridSpan w:val="3"/>
          </w:tcPr>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1.从开始运营日起，成交人应按照国家、行业及地方现行的有关规范连续接受和处理污水（除本合同另有规定外），保证出水、污泥、大气污染物和噪声等达到约定的标准，将从接收点排入的进水经处理达到出水质量标准后，排放至交付点,并负责将污泥运输至污泥处置场所处理，且自行承担运输、处置费。</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2.成交人应按适用法律法规和合理的商业标准以及谨慎运行惯例认真而有效地处理其业务与事务。</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3.成交人应建立健全水质检测和检验制度，按照国家或行业规定的检测项目、检测频次和有关标准、方法定期检测污水处理站进水和出水质量，做好各项检测分析资料和水质报表的汇总、归档。</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4.成交人应对污水处理设施的状况及性能建立定期检修保养制度，对各项设施的图纸资料进行收集、归类和整理，完善公用设施信息化管理系统，保持污水处理设施处于良好使用状态，并在招标人的要求下将设施运行情况报告给采购人。</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5.成交人在日常生产经营活动中，应充分考虑环境影响，维护生态环境。</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6.成交人应建立完善安全生产制度和意外事故的应急机制，制定应急预案报采购人备案，并按要求定期进行应急预案演练，保障生产和服务的稳定和安全，防止事故发生。如出现重大意外事故，成交人应及时通报采购人，并尽最大人力、物力进行抢救，尽快恢复生产与服务；在事故影响期间，成交人应采取各种应急措施进行补救，尽量减少事故对公众的影响。若因成交人经营管理不完善或人为因素导致的安全事故，则由成交人自行承担损失和责任。</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7.在任何时候污水处理站进水水质超标和进水水量超过设计限值，成交人有义务协助采购人共同查找原因和商议解决方案。</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8.确保污水处理后出水指标达到排放标准，同时妥善处理污泥及恶臭，避免二次污染事故的发生。</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9.运行台帐记录齐全。根据污水处理设施的实际情况，制定具体的运行维护计划，明确日常运行维护内容，落实专人进行维护管理，建立健全运行维护管理制度，安全生产制度，做好运行维护管理记录。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249" w:type="dxa"/>
            <w:gridSpan w:val="2"/>
            <w:vAlign w:val="center"/>
          </w:tcPr>
          <w:p>
            <w:pPr>
              <w:snapToGrid w:val="0"/>
              <w:spacing w:line="360" w:lineRule="auto"/>
              <w:jc w:val="center"/>
              <w:rPr>
                <w:rFonts w:ascii="宋体" w:hAnsi="宋体" w:cs="宋体"/>
                <w:b/>
                <w:szCs w:val="21"/>
              </w:rPr>
            </w:pPr>
            <w:r>
              <w:rPr>
                <w:rFonts w:hint="eastAsia" w:ascii="宋体" w:hAnsi="宋体" w:cs="宋体"/>
                <w:b/>
                <w:szCs w:val="21"/>
              </w:rPr>
              <w:t>运行与维护手册</w:t>
            </w:r>
          </w:p>
        </w:tc>
        <w:tc>
          <w:tcPr>
            <w:tcW w:w="8074" w:type="dxa"/>
            <w:gridSpan w:val="3"/>
          </w:tcPr>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在开始商业运营之前，成交人应根据适用法律和谨慎运营惯例编制运行与维护手册。经采购人同意后，成交人应按照该运营维护手册对污水处理站进行运营和维护，运营维护手册在运营期内应根据污水处理站运营和维护的实际情况随时进行修改、补充和完善，并经招标人同意后遵照执行。该手册应包括但不限于如下内容：</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(a)运营维护手册应包括污水处理站进行定期和年度检查、日常运行维护、大修维护和年度维护的程序和计划，以及调整和改进检验及维护安排的程序和计划，并制定应对突发事件的应急服务预案。</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(b)运营维护手册应列明污水处理站正常运营所需的消耗性备品备件和事故抢修的备品备件以及对项目设施的更新改造计划。</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(c)污水处理站的运营和维护应符合适用法律和我国行业规范、标准的要求。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249" w:type="dxa"/>
            <w:gridSpan w:val="2"/>
            <w:vAlign w:val="center"/>
          </w:tcPr>
          <w:p>
            <w:pPr>
              <w:snapToGrid w:val="0"/>
              <w:spacing w:line="360" w:lineRule="auto"/>
              <w:jc w:val="center"/>
              <w:rPr>
                <w:rFonts w:ascii="宋体" w:hAnsi="宋体" w:cs="宋体"/>
                <w:b/>
                <w:szCs w:val="21"/>
              </w:rPr>
            </w:pPr>
            <w:r>
              <w:rPr>
                <w:rFonts w:hint="eastAsia" w:ascii="宋体" w:hAnsi="宋体" w:cs="宋体"/>
                <w:b/>
                <w:szCs w:val="21"/>
              </w:rPr>
              <w:t>通知义务</w:t>
            </w:r>
          </w:p>
        </w:tc>
        <w:tc>
          <w:tcPr>
            <w:tcW w:w="8074" w:type="dxa"/>
            <w:gridSpan w:val="3"/>
          </w:tcPr>
          <w:p>
            <w:pPr>
              <w:widowControl/>
              <w:shd w:val="clear" w:color="auto" w:fill="FFFFFF"/>
              <w:spacing w:line="360" w:lineRule="auto"/>
              <w:ind w:firstLine="525"/>
              <w:jc w:val="left"/>
              <w:rPr>
                <w:rFonts w:ascii="宋体" w:hAnsi="宋体" w:cs="宋体"/>
                <w:kern w:val="0"/>
                <w:szCs w:val="21"/>
              </w:rPr>
            </w:pPr>
            <w:r>
              <w:rPr>
                <w:rFonts w:hint="eastAsia" w:ascii="宋体" w:hAnsi="宋体" w:cs="宋体"/>
                <w:kern w:val="0"/>
                <w:szCs w:val="21"/>
              </w:rPr>
              <w:t>在任何时候污水处理站进水水质超标和进水水量超过设计限值的120%，则成交人应在2个小时内通知招标人，并告知进水的异常情况和提供有关数据以及成交人为此收集到的有关调查详情。成交人未按照上述要求履行向采购人通知义务和提供有关依据的，则成交人不得以此为理由抗辩其应行使的污水全面处理和达标排放之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249" w:type="dxa"/>
            <w:gridSpan w:val="2"/>
            <w:vAlign w:val="center"/>
          </w:tcPr>
          <w:p>
            <w:pPr>
              <w:snapToGrid w:val="0"/>
              <w:spacing w:line="360" w:lineRule="auto"/>
              <w:jc w:val="center"/>
              <w:rPr>
                <w:rFonts w:ascii="宋体" w:hAnsi="宋体" w:cs="宋体"/>
                <w:b/>
                <w:szCs w:val="21"/>
              </w:rPr>
            </w:pPr>
            <w:r>
              <w:rPr>
                <w:rFonts w:hint="eastAsia" w:ascii="宋体" w:hAnsi="宋体" w:cs="宋体"/>
                <w:b/>
                <w:szCs w:val="21"/>
              </w:rPr>
              <w:t>环境保护</w:t>
            </w:r>
          </w:p>
        </w:tc>
        <w:tc>
          <w:tcPr>
            <w:tcW w:w="8074" w:type="dxa"/>
            <w:gridSpan w:val="3"/>
          </w:tcPr>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1.成交人应始终遵守有关公共卫生和安全的适用法律法规及本合同的规定。</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2.成交人不应因项目设施的建设、运营和维护而造成污水处理站场地和排水干管土地（包括土壤、地下水或地表水及空气）或周围环境的污染。</w:t>
            </w:r>
          </w:p>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3.成交人在项目设施的建设、运营和维护期间应采取一切合理措施来避免或尽量减少对项目设施周围建筑物和居民区的干扰。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249" w:type="dxa"/>
            <w:gridSpan w:val="2"/>
            <w:vAlign w:val="center"/>
          </w:tcPr>
          <w:p>
            <w:pPr>
              <w:snapToGrid w:val="0"/>
              <w:spacing w:line="360" w:lineRule="auto"/>
              <w:jc w:val="center"/>
              <w:rPr>
                <w:rFonts w:ascii="宋体" w:hAnsi="宋体" w:cs="宋体"/>
                <w:b/>
                <w:szCs w:val="21"/>
              </w:rPr>
            </w:pPr>
            <w:r>
              <w:rPr>
                <w:rFonts w:hint="eastAsia" w:ascii="宋体" w:hAnsi="宋体" w:cs="宋体"/>
                <w:b/>
                <w:szCs w:val="21"/>
              </w:rPr>
              <w:t>未履行维护的处理</w:t>
            </w:r>
          </w:p>
        </w:tc>
        <w:tc>
          <w:tcPr>
            <w:tcW w:w="8074" w:type="dxa"/>
            <w:gridSpan w:val="3"/>
          </w:tcPr>
          <w:p>
            <w:pPr>
              <w:widowControl/>
              <w:shd w:val="clear" w:color="auto" w:fill="FFFFFF"/>
              <w:spacing w:line="360" w:lineRule="auto"/>
              <w:ind w:firstLine="420" w:firstLineChars="200"/>
              <w:jc w:val="left"/>
              <w:rPr>
                <w:rFonts w:ascii="宋体" w:hAnsi="宋体" w:cs="宋体"/>
                <w:kern w:val="0"/>
                <w:szCs w:val="21"/>
              </w:rPr>
            </w:pPr>
            <w:r>
              <w:rPr>
                <w:rFonts w:hint="eastAsia" w:ascii="宋体" w:hAnsi="宋体" w:cs="宋体"/>
                <w:kern w:val="0"/>
                <w:szCs w:val="21"/>
              </w:rPr>
              <w:t>如果成交人违反污水处理项目设施维护的义务，采购人可就该违约向成交人发出通知，限期完成纠正性维护。成交人在接到上述通知后必须立即对污水处理项目设施进行全面整改和维护。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249" w:type="dxa"/>
            <w:gridSpan w:val="2"/>
            <w:vAlign w:val="center"/>
          </w:tcPr>
          <w:p>
            <w:pPr>
              <w:snapToGrid w:val="0"/>
              <w:spacing w:line="360" w:lineRule="auto"/>
              <w:jc w:val="center"/>
              <w:rPr>
                <w:rFonts w:ascii="宋体" w:hAnsi="宋体" w:cs="宋体"/>
                <w:b/>
                <w:bCs/>
                <w:szCs w:val="21"/>
              </w:rPr>
            </w:pPr>
            <w:r>
              <w:rPr>
                <w:rFonts w:hint="eastAsia" w:ascii="宋体" w:hAnsi="宋体" w:cs="宋体"/>
                <w:b/>
                <w:bCs/>
                <w:szCs w:val="21"/>
              </w:rPr>
              <w:t>付款条件</w:t>
            </w:r>
          </w:p>
        </w:tc>
        <w:tc>
          <w:tcPr>
            <w:tcW w:w="8074" w:type="dxa"/>
            <w:gridSpan w:val="3"/>
          </w:tcPr>
          <w:p>
            <w:pPr>
              <w:snapToGrid w:val="0"/>
              <w:spacing w:line="360" w:lineRule="auto"/>
              <w:ind w:firstLine="422" w:firstLineChars="200"/>
              <w:jc w:val="left"/>
              <w:rPr>
                <w:rFonts w:ascii="宋体" w:hAnsi="宋体" w:cs="宋体"/>
                <w:b/>
                <w:szCs w:val="21"/>
              </w:rPr>
            </w:pPr>
            <w:r>
              <w:rPr>
                <w:rFonts w:hint="eastAsia" w:ascii="宋体" w:hAnsi="宋体" w:cs="宋体"/>
                <w:b/>
                <w:szCs w:val="21"/>
              </w:rPr>
              <w:t>按年度总承包价格支付，如有扣罚，按扣罚后的实际费用支付。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323" w:type="dxa"/>
            <w:gridSpan w:val="5"/>
          </w:tcPr>
          <w:p>
            <w:pPr>
              <w:widowControl/>
              <w:spacing w:line="360" w:lineRule="auto"/>
              <w:rPr>
                <w:rFonts w:ascii="宋体" w:hAnsi="宋体" w:cs="宋体"/>
                <w:szCs w:val="21"/>
              </w:rPr>
            </w:pPr>
            <w:r>
              <w:rPr>
                <w:rFonts w:hint="eastAsia" w:ascii="宋体" w:hAnsi="宋体" w:cs="宋体"/>
                <w:szCs w:val="21"/>
              </w:rPr>
              <w:t>其他要求：</w:t>
            </w:r>
          </w:p>
          <w:p>
            <w:pPr>
              <w:widowControl/>
              <w:spacing w:line="360" w:lineRule="auto"/>
              <w:ind w:firstLine="422" w:firstLineChars="200"/>
              <w:rPr>
                <w:rFonts w:ascii="宋体" w:hAnsi="宋体" w:cs="宋体"/>
                <w:b/>
                <w:bCs/>
                <w:szCs w:val="21"/>
              </w:rPr>
            </w:pPr>
            <w:r>
              <w:rPr>
                <w:rFonts w:hint="eastAsia" w:ascii="宋体" w:hAnsi="宋体" w:cs="宋体"/>
                <w:b/>
                <w:bCs/>
                <w:szCs w:val="21"/>
              </w:rPr>
              <w:t>1.其他说明：</w:t>
            </w:r>
          </w:p>
          <w:p>
            <w:pPr>
              <w:widowControl/>
              <w:spacing w:line="360" w:lineRule="auto"/>
              <w:ind w:firstLine="420" w:firstLineChars="200"/>
              <w:rPr>
                <w:rFonts w:ascii="宋体" w:hAnsi="宋体" w:cs="宋体"/>
                <w:szCs w:val="21"/>
              </w:rPr>
            </w:pPr>
            <w:r>
              <w:rPr>
                <w:rFonts w:hint="eastAsia" w:ascii="宋体" w:hAnsi="宋体" w:cs="宋体"/>
                <w:szCs w:val="21"/>
              </w:rPr>
              <w:t>供应商</w:t>
            </w:r>
            <w:bookmarkStart w:id="12" w:name="_GoBack"/>
            <w:bookmarkEnd w:id="12"/>
            <w:r>
              <w:rPr>
                <w:rFonts w:hint="eastAsia" w:ascii="宋体" w:hAnsi="宋体" w:cs="宋体"/>
                <w:szCs w:val="21"/>
              </w:rPr>
              <w:t>竞标报价</w:t>
            </w:r>
            <w:r>
              <w:rPr>
                <w:rFonts w:hint="eastAsia" w:ascii="宋体" w:hAnsi="宋体" w:cs="宋体"/>
                <w:szCs w:val="21"/>
                <w:lang w:val="en-US" w:eastAsia="zh-CN"/>
              </w:rPr>
              <w:t>按月包干价报价，报价</w:t>
            </w:r>
            <w:r>
              <w:rPr>
                <w:rFonts w:hint="eastAsia" w:ascii="宋体" w:hAnsi="宋体" w:cs="宋体"/>
                <w:szCs w:val="21"/>
              </w:rPr>
              <w:t>必须包含满足本次竞标全部采购需求所应提供的服务，总承包价格需包含运维人工费；药剂费用；设备维护、维修、更换费(壹仟元以下)；处理量增加后的设备新增费用；日常操作所需的相关防护用品费用；工作场所翻新费；污水处理站相关设施的维修、更换费等相关一切费用，供应商都应综合考虑在报价中。</w:t>
            </w:r>
          </w:p>
          <w:p>
            <w:pPr>
              <w:tabs>
                <w:tab w:val="left" w:pos="735"/>
              </w:tabs>
              <w:spacing w:line="360" w:lineRule="auto"/>
              <w:ind w:firstLine="420" w:firstLineChars="200"/>
              <w:rPr>
                <w:rFonts w:ascii="宋体" w:hAnsi="宋体" w:cs="宋体"/>
                <w:szCs w:val="21"/>
              </w:rPr>
            </w:pPr>
            <w:r>
              <w:rPr>
                <w:rFonts w:hint="eastAsia" w:ascii="宋体" w:hAnsi="宋体" w:cs="宋体"/>
                <w:szCs w:val="21"/>
              </w:rPr>
              <w:t>2.由于成交人的原因造成污水排放不达标或无法通过环保部门的测评，由成交人承担因此引起的一切经济损失及责任。</w:t>
            </w:r>
          </w:p>
          <w:p>
            <w:pPr>
              <w:tabs>
                <w:tab w:val="left" w:pos="735"/>
              </w:tabs>
              <w:spacing w:line="360" w:lineRule="auto"/>
              <w:ind w:firstLine="420" w:firstLineChars="200"/>
              <w:rPr>
                <w:rFonts w:ascii="宋体" w:hAnsi="宋体" w:cs="宋体"/>
                <w:szCs w:val="21"/>
              </w:rPr>
            </w:pPr>
            <w:r>
              <w:rPr>
                <w:rFonts w:hint="eastAsia" w:ascii="宋体" w:hAnsi="宋体" w:cs="宋体"/>
                <w:szCs w:val="21"/>
              </w:rPr>
              <w:t>3.</w:t>
            </w:r>
            <w:r>
              <w:rPr>
                <w:rFonts w:ascii="宋体" w:hAnsi="宋体" w:cs="宋体"/>
                <w:szCs w:val="21"/>
              </w:rPr>
              <w:t xml:space="preserve"> </w:t>
            </w:r>
            <w:r>
              <w:rPr>
                <w:rFonts w:hint="eastAsia" w:ascii="宋体" w:hAnsi="宋体" w:cs="宋体"/>
                <w:szCs w:val="21"/>
              </w:rPr>
              <w:t>如成交人出现检测不达标的情况下，采购人下达整改通知书，同时扣罚</w:t>
            </w:r>
            <w:bookmarkStart w:id="10" w:name="OLE_LINK6"/>
            <w:bookmarkStart w:id="11" w:name="OLE_LINK5"/>
            <w:r>
              <w:rPr>
                <w:rFonts w:hint="eastAsia" w:ascii="宋体" w:hAnsi="宋体" w:cs="宋体"/>
                <w:szCs w:val="21"/>
              </w:rPr>
              <w:t>当年服务费用</w:t>
            </w:r>
            <w:bookmarkEnd w:id="10"/>
            <w:bookmarkEnd w:id="11"/>
            <w:r>
              <w:rPr>
                <w:rFonts w:hint="eastAsia" w:ascii="宋体" w:hAnsi="宋体" w:cs="宋体"/>
                <w:szCs w:val="21"/>
              </w:rPr>
              <w:t>的2%；整改后仍不达标的，下达再次整改通知书，并扣罚</w:t>
            </w:r>
            <w:r>
              <w:rPr>
                <w:rFonts w:hint="eastAsia" w:ascii="宋体" w:hAnsi="宋体" w:cs="宋体"/>
                <w:kern w:val="0"/>
                <w:szCs w:val="21"/>
              </w:rPr>
              <w:t>当年服务费用</w:t>
            </w:r>
            <w:r>
              <w:rPr>
                <w:rFonts w:hint="eastAsia" w:ascii="宋体" w:hAnsi="宋体" w:cs="宋体"/>
                <w:szCs w:val="21"/>
              </w:rPr>
              <w:t>5%。再次整改仍不合格的，合同解除，成交人不得再参与采购人后续的相关项目招标采购及其他任何服务。</w:t>
            </w:r>
          </w:p>
          <w:p>
            <w:pPr>
              <w:tabs>
                <w:tab w:val="left" w:pos="735"/>
              </w:tabs>
              <w:spacing w:line="360" w:lineRule="auto"/>
              <w:ind w:firstLine="420" w:firstLineChars="200"/>
              <w:rPr>
                <w:rFonts w:ascii="宋体" w:hAnsi="宋体" w:cs="宋体"/>
                <w:szCs w:val="21"/>
              </w:rPr>
            </w:pPr>
            <w:r>
              <w:rPr>
                <w:rFonts w:hint="eastAsia" w:ascii="宋体" w:hAnsi="宋体" w:cs="宋体"/>
                <w:szCs w:val="21"/>
              </w:rPr>
              <w:t>4.成交人在服务期间应秉着负责的态度和严格的工作作风，积极响应采购人各项工作要求，如出现不配合、不汇报、不响应的，情节严重且造成恶劣影响的将予以解除合同。成交人不得再参与采购人后续的相关项目招标采购及其他任何服务。</w:t>
            </w:r>
          </w:p>
          <w:p>
            <w:pPr>
              <w:tabs>
                <w:tab w:val="left" w:pos="735"/>
              </w:tabs>
              <w:spacing w:line="360" w:lineRule="auto"/>
              <w:ind w:firstLine="420" w:firstLineChars="200"/>
              <w:rPr>
                <w:rFonts w:ascii="宋体" w:hAnsi="宋体" w:cs="宋体"/>
                <w:szCs w:val="21"/>
              </w:rPr>
            </w:pPr>
            <w:r>
              <w:rPr>
                <w:rFonts w:hint="eastAsia" w:ascii="宋体" w:hAnsi="宋体" w:cs="宋体"/>
                <w:szCs w:val="21"/>
              </w:rPr>
              <w:t>5.成交人在服务期间因自身原因出现重大质量及安全事故的，合同解除。成交人不得再参与采购人后续的相关项目招标采购及其他任何服务。</w:t>
            </w:r>
          </w:p>
          <w:p>
            <w:pPr>
              <w:widowControl/>
              <w:spacing w:line="360" w:lineRule="auto"/>
              <w:ind w:firstLine="422" w:firstLineChars="200"/>
              <w:rPr>
                <w:rFonts w:ascii="宋体" w:hAnsi="宋体" w:cs="宋体"/>
                <w:szCs w:val="21"/>
              </w:rPr>
            </w:pPr>
            <w:r>
              <w:rPr>
                <w:rFonts w:hint="eastAsia" w:ascii="宋体" w:hAnsi="宋体" w:cs="宋体"/>
                <w:b/>
                <w:bCs/>
                <w:szCs w:val="21"/>
              </w:rPr>
              <w:t>6.“采购需求”中所有条款均为实质性要求，若有任意一项负偏离，响应文件作无效处理。</w:t>
            </w:r>
          </w:p>
        </w:tc>
      </w:tr>
    </w:tbl>
    <w:p/>
    <w:sectPr>
      <w:footerReference r:id="rId4" w:type="first"/>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文本框 5121"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jc w:val="center"/>
                </w:pPr>
                <w:r>
                  <w:fldChar w:fldCharType="begin"/>
                </w:r>
                <w:r>
                  <w:instrText xml:space="preserve"> PAGE   \* MERGEFORMAT </w:instrText>
                </w:r>
                <w:r>
                  <w:fldChar w:fldCharType="separate"/>
                </w:r>
                <w:r>
                  <w:rPr>
                    <w:lang w:val="zh-CN"/>
                  </w:rPr>
                  <w:t>4</w:t>
                </w:r>
                <w:r>
                  <w:fldChar w:fldCharType="end"/>
                </w:r>
              </w:p>
            </w:txbxContent>
          </v:textbox>
        </v:shape>
      </w:pict>
    </w:r>
    <w:r>
      <w:rPr>
        <w:rFonts w:hint="eastAsia"/>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5122"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B6528"/>
    <w:rsid w:val="0011628A"/>
    <w:rsid w:val="001765F9"/>
    <w:rsid w:val="00227AFB"/>
    <w:rsid w:val="003A3FE8"/>
    <w:rsid w:val="003B31EB"/>
    <w:rsid w:val="003C2427"/>
    <w:rsid w:val="005B6528"/>
    <w:rsid w:val="00624C7F"/>
    <w:rsid w:val="009435AF"/>
    <w:rsid w:val="009C2C72"/>
    <w:rsid w:val="00AE3E20"/>
    <w:rsid w:val="00B97BED"/>
    <w:rsid w:val="00C048A6"/>
    <w:rsid w:val="04527443"/>
    <w:rsid w:val="37C76135"/>
    <w:rsid w:val="51094497"/>
    <w:rsid w:val="5B501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9"/>
    <w:pPr>
      <w:keepNext/>
      <w:keepLines/>
      <w:spacing w:before="260" w:after="260" w:line="416" w:lineRule="auto"/>
      <w:outlineLvl w:val="1"/>
    </w:pPr>
    <w:rPr>
      <w:rFonts w:ascii="Cambria" w:hAnsi="Cambria"/>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index 8"/>
    <w:basedOn w:val="1"/>
    <w:next w:val="1"/>
    <w:semiHidden/>
    <w:unhideWhenUsed/>
    <w:qFormat/>
    <w:uiPriority w:val="99"/>
    <w:pPr>
      <w:ind w:left="1400" w:leftChars="1400"/>
    </w:pPr>
  </w:style>
  <w:style w:type="paragraph" w:styleId="4">
    <w:name w:val="Plain Text"/>
    <w:basedOn w:val="1"/>
    <w:next w:val="3"/>
    <w:link w:val="13"/>
    <w:qFormat/>
    <w:uiPriority w:val="0"/>
    <w:rPr>
      <w:rFonts w:ascii="宋体" w:hAnsi="Courier New" w:cs="Courier New"/>
      <w:szCs w:val="21"/>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2 Char"/>
    <w:basedOn w:val="8"/>
    <w:link w:val="2"/>
    <w:semiHidden/>
    <w:qFormat/>
    <w:uiPriority w:val="9"/>
    <w:rPr>
      <w:rFonts w:asciiTheme="majorHAnsi" w:hAnsiTheme="majorHAnsi" w:eastAsiaTheme="majorEastAsia" w:cstheme="majorBidi"/>
      <w:b/>
      <w:bCs/>
      <w:sz w:val="32"/>
      <w:szCs w:val="32"/>
    </w:rPr>
  </w:style>
  <w:style w:type="character" w:customStyle="1" w:styleId="10">
    <w:name w:val="页脚 Char"/>
    <w:link w:val="5"/>
    <w:qFormat/>
    <w:uiPriority w:val="99"/>
    <w:rPr>
      <w:sz w:val="18"/>
      <w:szCs w:val="18"/>
    </w:rPr>
  </w:style>
  <w:style w:type="character" w:customStyle="1" w:styleId="11">
    <w:name w:val="标题 2 Char1"/>
    <w:link w:val="2"/>
    <w:qFormat/>
    <w:uiPriority w:val="9"/>
    <w:rPr>
      <w:rFonts w:ascii="Cambria" w:hAnsi="Cambria" w:eastAsia="宋体" w:cs="Times New Roman"/>
      <w:b/>
      <w:bCs/>
      <w:sz w:val="32"/>
      <w:szCs w:val="32"/>
    </w:rPr>
  </w:style>
  <w:style w:type="character" w:customStyle="1" w:styleId="12">
    <w:name w:val="纯文本 Char1"/>
    <w:link w:val="4"/>
    <w:qFormat/>
    <w:uiPriority w:val="0"/>
    <w:rPr>
      <w:rFonts w:ascii="宋体" w:hAnsi="Courier New" w:eastAsia="宋体" w:cs="Courier New"/>
      <w:szCs w:val="21"/>
    </w:rPr>
  </w:style>
  <w:style w:type="character" w:customStyle="1" w:styleId="13">
    <w:name w:val="纯文本 Char"/>
    <w:basedOn w:val="8"/>
    <w:link w:val="4"/>
    <w:semiHidden/>
    <w:qFormat/>
    <w:uiPriority w:val="99"/>
    <w:rPr>
      <w:rFonts w:ascii="宋体" w:hAnsi="Courier New" w:eastAsia="宋体" w:cs="Courier New"/>
      <w:szCs w:val="21"/>
    </w:rPr>
  </w:style>
  <w:style w:type="character" w:customStyle="1" w:styleId="14">
    <w:name w:val="页脚 Char1"/>
    <w:basedOn w:val="8"/>
    <w:link w:val="5"/>
    <w:semiHidden/>
    <w:qFormat/>
    <w:uiPriority w:val="99"/>
    <w:rPr>
      <w:rFonts w:ascii="Times New Roman" w:hAnsi="Times New Roman" w:eastAsia="宋体" w:cs="Times New Roman"/>
      <w:sz w:val="18"/>
      <w:szCs w:val="18"/>
    </w:rPr>
  </w:style>
  <w:style w:type="character" w:customStyle="1" w:styleId="15">
    <w:name w:val="页眉 Char"/>
    <w:basedOn w:val="8"/>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4017</Words>
  <Characters>4111</Characters>
  <Lines>29</Lines>
  <Paragraphs>8</Paragraphs>
  <TotalTime>53</TotalTime>
  <ScaleCrop>false</ScaleCrop>
  <LinksUpToDate>false</LinksUpToDate>
  <CharactersWithSpaces>4112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2025-01-20T01:23:00Z</dcterms:created>
  <dc:creator>abc</dc:creator>
  <cp:lastModifiedBy>zbb</cp:lastModifiedBy>
  <dcterms:modified xsi:type="dcterms:W3CDTF">2025-04-07T01:54:33Z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eyJoZGlkIjoiN2FjMmUxOWI2NjViMzIxYjQ4OTQwODkyYzk0Mjg0YWIiLCJ1c2VySWQiOiI0NDk3OTkxMDMifQ==</vt:lpwstr>
  </property>
  <property fmtid="{D5CDD505-2E9C-101B-9397-08002B2CF9AE}" pid="3" name="KSOProductBuildVer">
    <vt:lpwstr>2052-11.8.2.9067</vt:lpwstr>
  </property>
  <property fmtid="{D5CDD505-2E9C-101B-9397-08002B2CF9AE}" pid="4" name="ICV">
    <vt:lpwstr>FDADE1CCC4B34E75B5DC62F7D5E8CBE1_12</vt:lpwstr>
  </property>
</Properties>
</file>