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045F7C">
      <w:pPr>
        <w:pStyle w:val="2"/>
        <w:jc w:val="center"/>
        <w:rPr>
          <w:rFonts w:hint="eastAsia" w:ascii="宋体" w:hAnsi="宋体" w:cs="宋体"/>
          <w:color w:val="000000" w:themeColor="text1"/>
          <w:highlight w:val="none"/>
          <w14:textFill>
            <w14:solidFill>
              <w14:schemeClr w14:val="tx1"/>
            </w14:solidFill>
          </w14:textFill>
        </w:rPr>
      </w:pPr>
      <w:bookmarkStart w:id="0" w:name="_Toc88"/>
      <w:bookmarkStart w:id="1" w:name="_Toc23297"/>
      <w:r>
        <w:rPr>
          <w:rFonts w:hint="eastAsia" w:ascii="宋体" w:hAnsi="宋体" w:cs="宋体"/>
          <w:color w:val="000000" w:themeColor="text1"/>
          <w:highlight w:val="none"/>
          <w14:textFill>
            <w14:solidFill>
              <w14:schemeClr w14:val="tx1"/>
            </w14:solidFill>
          </w14:textFill>
        </w:rPr>
        <w:t>采购需求</w:t>
      </w:r>
      <w:bookmarkEnd w:id="0"/>
    </w:p>
    <w:p w14:paraId="245A17EE">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说明：</w:t>
      </w:r>
    </w:p>
    <w:p w14:paraId="07192945">
      <w:pPr>
        <w:keepNext w:val="0"/>
        <w:keepLines w:val="0"/>
        <w:pageBreakBefore w:val="0"/>
        <w:kinsoku/>
        <w:wordWrap/>
        <w:overflowPunct/>
        <w:topLinePunct w:val="0"/>
        <w:autoSpaceDE/>
        <w:autoSpaceDN/>
        <w:bidi w:val="0"/>
        <w:adjustRightInd/>
        <w:snapToGrid/>
        <w:spacing w:line="460" w:lineRule="exact"/>
        <w:ind w:firstLine="424" w:firstLineChars="202"/>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1.“实质性要求”是指采购需求中带“▲”的条款或者不能负偏离的条款或者已经指明不满足按响应文件作无效处理的条款。</w:t>
      </w:r>
    </w:p>
    <w:p w14:paraId="7D533D8B">
      <w:pPr>
        <w:keepNext w:val="0"/>
        <w:keepLines w:val="0"/>
        <w:pageBreakBefore w:val="0"/>
        <w:kinsoku/>
        <w:wordWrap/>
        <w:overflowPunct/>
        <w:topLinePunct w:val="0"/>
        <w:autoSpaceDE/>
        <w:autoSpaceDN/>
        <w:bidi w:val="0"/>
        <w:adjustRightInd/>
        <w:snapToGrid/>
        <w:spacing w:line="460" w:lineRule="exact"/>
        <w:ind w:firstLine="424" w:firstLineChars="202"/>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2.供应商应根据自身实际情况如实响应竞争性磋商文件。</w:t>
      </w:r>
    </w:p>
    <w:p w14:paraId="5D8D4020">
      <w:pPr>
        <w:keepNext w:val="0"/>
        <w:keepLines w:val="0"/>
        <w:pageBreakBefore w:val="0"/>
        <w:widowControl/>
        <w:kinsoku/>
        <w:wordWrap/>
        <w:overflowPunct/>
        <w:topLinePunct w:val="0"/>
        <w:autoSpaceDE/>
        <w:autoSpaceDN/>
        <w:bidi w:val="0"/>
        <w:adjustRightInd/>
        <w:snapToGrid/>
        <w:spacing w:line="460" w:lineRule="exact"/>
        <w:ind w:firstLine="424" w:firstLineChars="202"/>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3.供应商必须自行为其竞标产品（或服务）侵犯他人的知识产权或者专利成果的行为承担相应法律责任。</w:t>
      </w:r>
    </w:p>
    <w:tbl>
      <w:tblPr>
        <w:tblStyle w:val="36"/>
        <w:tblW w:w="9486" w:type="dxa"/>
        <w:jc w:val="center"/>
        <w:tblLayout w:type="fixed"/>
        <w:tblCellMar>
          <w:top w:w="0" w:type="dxa"/>
          <w:left w:w="108" w:type="dxa"/>
          <w:bottom w:w="0" w:type="dxa"/>
          <w:right w:w="108" w:type="dxa"/>
        </w:tblCellMar>
      </w:tblPr>
      <w:tblGrid>
        <w:gridCol w:w="690"/>
        <w:gridCol w:w="1238"/>
        <w:gridCol w:w="964"/>
        <w:gridCol w:w="6594"/>
      </w:tblGrid>
      <w:tr w14:paraId="3F63C64D">
        <w:tblPrEx>
          <w:tblCellMar>
            <w:top w:w="0" w:type="dxa"/>
            <w:left w:w="108" w:type="dxa"/>
            <w:bottom w:w="0" w:type="dxa"/>
            <w:right w:w="108" w:type="dxa"/>
          </w:tblCellMar>
        </w:tblPrEx>
        <w:trPr>
          <w:trHeight w:val="867" w:hRule="atLeast"/>
          <w:jc w:val="center"/>
        </w:trPr>
        <w:tc>
          <w:tcPr>
            <w:tcW w:w="690" w:type="dxa"/>
            <w:tcBorders>
              <w:top w:val="single" w:color="auto" w:sz="4" w:space="0"/>
              <w:left w:val="single" w:color="auto" w:sz="8" w:space="0"/>
              <w:bottom w:val="single" w:color="auto" w:sz="4" w:space="0"/>
              <w:right w:val="single" w:color="auto" w:sz="4" w:space="0"/>
            </w:tcBorders>
            <w:noWrap w:val="0"/>
            <w:vAlign w:val="center"/>
          </w:tcPr>
          <w:p w14:paraId="46386993">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序号</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68734F3E">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服务名称</w:t>
            </w:r>
          </w:p>
        </w:tc>
        <w:tc>
          <w:tcPr>
            <w:tcW w:w="964" w:type="dxa"/>
            <w:tcBorders>
              <w:top w:val="single" w:color="auto" w:sz="4" w:space="0"/>
              <w:left w:val="single" w:color="auto" w:sz="4" w:space="0"/>
              <w:bottom w:val="single" w:color="auto" w:sz="4" w:space="0"/>
              <w:right w:val="single" w:color="auto" w:sz="4" w:space="0"/>
            </w:tcBorders>
            <w:noWrap w:val="0"/>
            <w:vAlign w:val="center"/>
          </w:tcPr>
          <w:p w14:paraId="13A52038">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数量/</w:t>
            </w:r>
          </w:p>
          <w:p w14:paraId="1DD6987D">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单位</w:t>
            </w:r>
          </w:p>
        </w:tc>
        <w:tc>
          <w:tcPr>
            <w:tcW w:w="6594" w:type="dxa"/>
            <w:tcBorders>
              <w:top w:val="single" w:color="auto" w:sz="4" w:space="0"/>
              <w:left w:val="single" w:color="auto" w:sz="4" w:space="0"/>
              <w:bottom w:val="single" w:color="auto" w:sz="4" w:space="0"/>
              <w:right w:val="single" w:color="auto" w:sz="8" w:space="0"/>
            </w:tcBorders>
            <w:noWrap w:val="0"/>
            <w:vAlign w:val="center"/>
          </w:tcPr>
          <w:p w14:paraId="521D6D18">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服务内容及服务要求</w:t>
            </w:r>
          </w:p>
        </w:tc>
      </w:tr>
      <w:tr w14:paraId="22AFCE87">
        <w:tblPrEx>
          <w:tblCellMar>
            <w:top w:w="0" w:type="dxa"/>
            <w:left w:w="108" w:type="dxa"/>
            <w:bottom w:w="0" w:type="dxa"/>
            <w:right w:w="108" w:type="dxa"/>
          </w:tblCellMar>
        </w:tblPrEx>
        <w:trPr>
          <w:trHeight w:val="867" w:hRule="atLeast"/>
          <w:jc w:val="center"/>
        </w:trPr>
        <w:tc>
          <w:tcPr>
            <w:tcW w:w="690" w:type="dxa"/>
            <w:tcBorders>
              <w:top w:val="single" w:color="auto" w:sz="4" w:space="0"/>
              <w:left w:val="single" w:color="auto" w:sz="8" w:space="0"/>
              <w:bottom w:val="single" w:color="auto" w:sz="4" w:space="0"/>
              <w:right w:val="single" w:color="auto" w:sz="4" w:space="0"/>
            </w:tcBorders>
            <w:noWrap w:val="0"/>
            <w:vAlign w:val="center"/>
          </w:tcPr>
          <w:p w14:paraId="18CAD525">
            <w:pPr>
              <w:keepNext w:val="0"/>
              <w:keepLines w:val="0"/>
              <w:pageBreakBefore w:val="0"/>
              <w:tabs>
                <w:tab w:val="left" w:pos="180"/>
                <w:tab w:val="left" w:pos="1620"/>
              </w:tabs>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045B97D1">
            <w:pPr>
              <w:keepNext w:val="0"/>
              <w:keepLines w:val="0"/>
              <w:pageBreakBefore w:val="0"/>
              <w:tabs>
                <w:tab w:val="left" w:pos="180"/>
                <w:tab w:val="left" w:pos="1620"/>
              </w:tabs>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cs="宋体"/>
                <w:color w:val="000000" w:themeColor="text1"/>
                <w:kern w:val="2"/>
                <w:sz w:val="21"/>
                <w:szCs w:val="21"/>
                <w:highlight w:val="none"/>
                <w:lang w:eastAsia="zh-CN"/>
                <w14:textFill>
                  <w14:solidFill>
                    <w14:schemeClr w14:val="tx1"/>
                  </w14:solidFill>
                </w14:textFill>
              </w:rPr>
              <w:t>南溪山医院</w:t>
            </w:r>
            <w:r>
              <w:rPr>
                <w:rFonts w:hint="eastAsia" w:ascii="宋体" w:hAnsi="宋体" w:cs="宋体"/>
                <w:color w:val="000000" w:themeColor="text1"/>
                <w:kern w:val="2"/>
                <w:sz w:val="21"/>
                <w:szCs w:val="21"/>
                <w:highlight w:val="none"/>
                <w:lang w:val="en-US" w:eastAsia="zh-CN"/>
                <w14:textFill>
                  <w14:solidFill>
                    <w14:schemeClr w14:val="tx1"/>
                  </w14:solidFill>
                </w14:textFill>
              </w:rPr>
              <w:t>2025-2028</w:t>
            </w:r>
            <w:r>
              <w:rPr>
                <w:rFonts w:hint="eastAsia" w:ascii="宋体" w:hAnsi="宋体" w:cs="宋体"/>
                <w:color w:val="000000" w:themeColor="text1"/>
                <w:kern w:val="2"/>
                <w:sz w:val="21"/>
                <w:szCs w:val="21"/>
                <w:highlight w:val="none"/>
                <w:lang w:eastAsia="zh-CN"/>
                <w14:textFill>
                  <w14:solidFill>
                    <w14:schemeClr w14:val="tx1"/>
                  </w14:solidFill>
                </w14:textFill>
              </w:rPr>
              <w:t>年度医疗责任保险项目（重）</w:t>
            </w:r>
          </w:p>
        </w:tc>
        <w:tc>
          <w:tcPr>
            <w:tcW w:w="964" w:type="dxa"/>
            <w:tcBorders>
              <w:top w:val="single" w:color="auto" w:sz="4" w:space="0"/>
              <w:left w:val="single" w:color="auto" w:sz="4" w:space="0"/>
              <w:bottom w:val="single" w:color="auto" w:sz="4" w:space="0"/>
              <w:right w:val="single" w:color="auto" w:sz="4" w:space="0"/>
            </w:tcBorders>
            <w:noWrap w:val="0"/>
            <w:vAlign w:val="center"/>
          </w:tcPr>
          <w:p w14:paraId="6BC4EEF0">
            <w:pPr>
              <w:pStyle w:val="13"/>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1项</w:t>
            </w:r>
          </w:p>
        </w:tc>
        <w:tc>
          <w:tcPr>
            <w:tcW w:w="6594" w:type="dxa"/>
            <w:tcBorders>
              <w:top w:val="single" w:color="auto" w:sz="4" w:space="0"/>
              <w:left w:val="single" w:color="auto" w:sz="4" w:space="0"/>
              <w:bottom w:val="single" w:color="auto" w:sz="4" w:space="0"/>
              <w:right w:val="single" w:color="auto" w:sz="8" w:space="0"/>
            </w:tcBorders>
            <w:noWrap w:val="0"/>
            <w:vAlign w:val="top"/>
          </w:tcPr>
          <w:p w14:paraId="68A54FC2">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一、医疗责任保险的保险责任：</w:t>
            </w:r>
          </w:p>
          <w:p w14:paraId="7551807A">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保险期间及承保区域范围内，医疗机构的医务人员在诊疗活动中，因执业过失造成患者人身损害，在本保险期间内，由患者或其近亲属向医疗机构提出索赔申请，依法应由医疗机构承担的民事赔偿责任和保险责任范围内事故的，保险公司依照约定承担赔偿责任，涵盖医疗过错、服务不当、告知不全及药品器械等引起的医疗损害责任，场所责任等民事责任，医患双方均无过错时的公平责任等。在本保险期间内，保险事故发生后，医疗机构因保险事故而被提起仲裁或者诉讼的，对应由医疗机构支付的仲裁、或诉讼费用以及事先经保险人书面同意支付的其它必要的、合理的法律费用。</w:t>
            </w:r>
          </w:p>
          <w:p w14:paraId="7D553DD9">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（1）基本数据(以下数据仅供参考，签合同时再定具体数字)</w:t>
            </w:r>
          </w:p>
          <w:p w14:paraId="17D7FE2E">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FF0000"/>
                <w:sz w:val="21"/>
                <w:szCs w:val="21"/>
              </w:rPr>
            </w:pPr>
            <w:r>
              <w:rPr>
                <w:rFonts w:hint="eastAsia" w:ascii="宋体" w:hAnsi="宋体" w:eastAsia="宋体" w:cs="宋体"/>
                <w:color w:val="000000" w:themeColor="text1"/>
                <w:sz w:val="21"/>
                <w:szCs w:val="21"/>
                <w14:textFill>
                  <w14:solidFill>
                    <w14:schemeClr w14:val="tx1"/>
                  </w14:solidFill>
                </w14:textFill>
              </w:rPr>
              <w:t>1）医务人员数：</w:t>
            </w:r>
            <w:r>
              <w:rPr>
                <w:rFonts w:hint="eastAsia" w:ascii="宋体" w:hAnsi="宋体" w:cs="宋体"/>
                <w:color w:val="FF0000"/>
                <w:sz w:val="21"/>
                <w:szCs w:val="21"/>
                <w:lang w:val="en-US" w:eastAsia="zh-CN"/>
              </w:rPr>
              <w:t>2000</w:t>
            </w:r>
            <w:r>
              <w:rPr>
                <w:rFonts w:hint="eastAsia" w:ascii="宋体" w:hAnsi="宋体" w:eastAsia="宋体" w:cs="宋体"/>
                <w:color w:val="FF0000"/>
                <w:sz w:val="21"/>
                <w:szCs w:val="21"/>
              </w:rPr>
              <w:t>人</w:t>
            </w:r>
          </w:p>
          <w:p w14:paraId="47CD3517">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FF0000"/>
                <w:sz w:val="21"/>
                <w:szCs w:val="21"/>
              </w:rPr>
            </w:pPr>
            <w:r>
              <w:rPr>
                <w:rFonts w:hint="eastAsia" w:ascii="宋体" w:hAnsi="宋体" w:eastAsia="宋体" w:cs="宋体"/>
                <w:color w:val="000000" w:themeColor="text1"/>
                <w:sz w:val="21"/>
                <w:szCs w:val="21"/>
                <w14:textFill>
                  <w14:solidFill>
                    <w14:schemeClr w14:val="tx1"/>
                  </w14:solidFill>
                </w14:textFill>
              </w:rPr>
              <w:t>2）门急诊人次：</w:t>
            </w:r>
            <w:r>
              <w:rPr>
                <w:rFonts w:hint="eastAsia" w:ascii="宋体" w:hAnsi="宋体" w:eastAsia="宋体" w:cs="宋体"/>
                <w:color w:val="FF0000"/>
                <w:sz w:val="21"/>
                <w:szCs w:val="21"/>
              </w:rPr>
              <w:t>1033501人次</w:t>
            </w:r>
          </w:p>
          <w:p w14:paraId="68F072B3">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FF0000"/>
                <w:sz w:val="21"/>
                <w:szCs w:val="21"/>
              </w:rPr>
            </w:pPr>
            <w:r>
              <w:rPr>
                <w:rFonts w:hint="eastAsia" w:ascii="宋体" w:hAnsi="宋体" w:eastAsia="宋体" w:cs="宋体"/>
                <w:color w:val="000000" w:themeColor="text1"/>
                <w:sz w:val="21"/>
                <w:szCs w:val="21"/>
                <w14:textFill>
                  <w14:solidFill>
                    <w14:schemeClr w14:val="tx1"/>
                  </w14:solidFill>
                </w14:textFill>
              </w:rPr>
              <w:t>3）住院人次：</w:t>
            </w:r>
            <w:r>
              <w:rPr>
                <w:rFonts w:hint="eastAsia" w:ascii="宋体" w:hAnsi="宋体" w:eastAsia="宋体" w:cs="宋体"/>
                <w:color w:val="FF0000"/>
                <w:sz w:val="21"/>
                <w:szCs w:val="21"/>
              </w:rPr>
              <w:t>94725人次</w:t>
            </w:r>
          </w:p>
          <w:p w14:paraId="60D39094">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（2）保险责任</w:t>
            </w:r>
          </w:p>
          <w:p w14:paraId="5E8AC38E">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1）医疗责任每人赔偿限额</w:t>
            </w:r>
            <w:r>
              <w:rPr>
                <w:rFonts w:hint="eastAsia" w:ascii="宋体" w:hAnsi="宋体" w:cs="宋体"/>
                <w:color w:val="000000" w:themeColor="text1"/>
                <w:sz w:val="21"/>
                <w:szCs w:val="21"/>
                <w:lang w:val="en-US" w:eastAsia="zh-CN"/>
                <w14:textFill>
                  <w14:solidFill>
                    <w14:schemeClr w14:val="tx1"/>
                  </w14:solidFill>
                </w14:textFill>
              </w:rPr>
              <w:t>不低于</w:t>
            </w:r>
            <w:r>
              <w:rPr>
                <w:rFonts w:hint="eastAsia" w:ascii="宋体" w:hAnsi="宋体" w:eastAsia="宋体" w:cs="宋体"/>
                <w:color w:val="000000" w:themeColor="text1"/>
                <w:sz w:val="21"/>
                <w:szCs w:val="21"/>
                <w14:textFill>
                  <w14:solidFill>
                    <w14:schemeClr w14:val="tx1"/>
                  </w14:solidFill>
                </w14:textFill>
              </w:rPr>
              <w:t>：40万元；</w:t>
            </w:r>
          </w:p>
          <w:p w14:paraId="29073F15">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2）医疗责任累计赔偿限额</w:t>
            </w:r>
            <w:r>
              <w:rPr>
                <w:rFonts w:hint="eastAsia" w:ascii="宋体" w:hAnsi="宋体" w:cs="宋体"/>
                <w:color w:val="000000" w:themeColor="text1"/>
                <w:sz w:val="21"/>
                <w:szCs w:val="21"/>
                <w:lang w:val="en-US" w:eastAsia="zh-CN"/>
                <w14:textFill>
                  <w14:solidFill>
                    <w14:schemeClr w14:val="tx1"/>
                  </w14:solidFill>
                </w14:textFill>
              </w:rPr>
              <w:t>不低于</w:t>
            </w:r>
            <w:r>
              <w:rPr>
                <w:rFonts w:hint="eastAsia" w:ascii="宋体" w:hAnsi="宋体" w:eastAsia="宋体" w:cs="宋体"/>
                <w:color w:val="000000" w:themeColor="text1"/>
                <w:sz w:val="21"/>
                <w:szCs w:val="21"/>
                <w14:textFill>
                  <w14:solidFill>
                    <w14:schemeClr w14:val="tx1"/>
                  </w14:solidFill>
                </w14:textFill>
              </w:rPr>
              <w:t>：300万元；</w:t>
            </w:r>
          </w:p>
          <w:p w14:paraId="7CDB2E90">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3）法律费用每次事故责任限额及法律费用累计责任限额</w:t>
            </w:r>
            <w:r>
              <w:rPr>
                <w:rFonts w:hint="eastAsia" w:ascii="宋体" w:hAnsi="宋体" w:eastAsia="宋体" w:cs="宋体"/>
                <w:b/>
                <w:bCs/>
                <w:color w:val="000000" w:themeColor="text1"/>
                <w:sz w:val="21"/>
                <w:szCs w:val="21"/>
                <w:u w:val="single"/>
                <w14:textFill>
                  <w14:solidFill>
                    <w14:schemeClr w14:val="tx1"/>
                  </w14:solidFill>
                </w14:textFill>
              </w:rPr>
              <w:t>均</w:t>
            </w:r>
            <w:r>
              <w:rPr>
                <w:rFonts w:hint="eastAsia" w:ascii="宋体" w:hAnsi="宋体" w:eastAsia="宋体" w:cs="宋体"/>
                <w:color w:val="000000" w:themeColor="text1"/>
                <w:sz w:val="21"/>
                <w:szCs w:val="21"/>
                <w14:textFill>
                  <w14:solidFill>
                    <w14:schemeClr w14:val="tx1"/>
                  </w14:solidFill>
                </w14:textFill>
              </w:rPr>
              <w:t>为</w:t>
            </w:r>
            <w:r>
              <w:rPr>
                <w:rFonts w:hint="eastAsia" w:ascii="宋体" w:hAnsi="宋体" w:eastAsia="宋体" w:cs="宋体"/>
                <w:b/>
                <w:bCs/>
                <w:color w:val="000000" w:themeColor="text1"/>
                <w:sz w:val="21"/>
                <w:szCs w:val="21"/>
                <w:u w:val="single"/>
                <w14:textFill>
                  <w14:solidFill>
                    <w14:schemeClr w14:val="tx1"/>
                  </w14:solidFill>
                </w14:textFill>
              </w:rPr>
              <w:t>医疗责任累计限额</w:t>
            </w:r>
            <w:r>
              <w:rPr>
                <w:rFonts w:hint="eastAsia" w:ascii="宋体" w:hAnsi="宋体" w:eastAsia="宋体" w:cs="宋体"/>
                <w:color w:val="000000" w:themeColor="text1"/>
                <w:sz w:val="21"/>
                <w:szCs w:val="21"/>
                <w14:textFill>
                  <w14:solidFill>
                    <w14:schemeClr w14:val="tx1"/>
                  </w14:solidFill>
                </w14:textFill>
              </w:rPr>
              <w:t>的15%，且在</w:t>
            </w:r>
            <w:r>
              <w:rPr>
                <w:rFonts w:hint="eastAsia" w:ascii="宋体" w:hAnsi="宋体" w:eastAsia="宋体" w:cs="宋体"/>
                <w:b/>
                <w:bCs/>
                <w:color w:val="000000" w:themeColor="text1"/>
                <w:sz w:val="21"/>
                <w:szCs w:val="21"/>
                <w:u w:val="single"/>
                <w14:textFill>
                  <w14:solidFill>
                    <w14:schemeClr w14:val="tx1"/>
                  </w14:solidFill>
                </w14:textFill>
              </w:rPr>
              <w:t>医疗责任累计</w:t>
            </w:r>
            <w:r>
              <w:rPr>
                <w:rFonts w:hint="eastAsia" w:ascii="宋体" w:hAnsi="宋体" w:eastAsia="宋体" w:cs="宋体"/>
                <w:color w:val="000000" w:themeColor="text1"/>
                <w:sz w:val="21"/>
                <w:szCs w:val="21"/>
                <w14:textFill>
                  <w14:solidFill>
                    <w14:schemeClr w14:val="tx1"/>
                  </w14:solidFill>
                </w14:textFill>
              </w:rPr>
              <w:t>限额之外计算；</w:t>
            </w:r>
          </w:p>
          <w:p w14:paraId="42479FC4">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4）精神损害每人责任限额：为医疗责任每人责任限额的30%，并包含在医疗责任每人限额内；</w:t>
            </w:r>
          </w:p>
          <w:p w14:paraId="64D63AAC">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5）医疗机构场所责任：每次事故每人责任限额40万元，每次事故赔偿限额100万元；年度累计赔偿限额200万元；</w:t>
            </w:r>
          </w:p>
          <w:p w14:paraId="40F7485A">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6）保险期限：</w:t>
            </w:r>
            <w:r>
              <w:rPr>
                <w:rFonts w:hint="eastAsia" w:ascii="宋体" w:hAnsi="宋体" w:cs="宋体"/>
                <w:color w:val="000000" w:themeColor="text1"/>
                <w:sz w:val="21"/>
                <w:szCs w:val="21"/>
                <w:lang w:val="en-US" w:eastAsia="zh-CN"/>
                <w14:textFill>
                  <w14:solidFill>
                    <w14:schemeClr w14:val="tx1"/>
                  </w14:solidFill>
                </w14:textFill>
              </w:rPr>
              <w:t>三</w:t>
            </w:r>
            <w:r>
              <w:rPr>
                <w:rFonts w:hint="eastAsia" w:ascii="宋体" w:hAnsi="宋体" w:eastAsia="宋体" w:cs="宋体"/>
                <w:color w:val="000000" w:themeColor="text1"/>
                <w:sz w:val="21"/>
                <w:szCs w:val="21"/>
                <w14:textFill>
                  <w14:solidFill>
                    <w14:schemeClr w14:val="tx1"/>
                  </w14:solidFill>
                </w14:textFill>
              </w:rPr>
              <w:t>年；</w:t>
            </w:r>
          </w:p>
          <w:p w14:paraId="73A7E65E">
            <w:pPr>
              <w:pStyle w:val="15"/>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7）追溯期限：202</w:t>
            </w:r>
            <w:r>
              <w:rPr>
                <w:rFonts w:hint="eastAsia" w:ascii="宋体" w:hAnsi="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年7月31日至202</w:t>
            </w:r>
            <w:r>
              <w:rPr>
                <w:rFonts w:hint="eastAsia" w:ascii="宋体" w:hAnsi="宋体" w:cs="宋体"/>
                <w:color w:val="000000" w:themeColor="text1"/>
                <w:sz w:val="21"/>
                <w:szCs w:val="21"/>
                <w:lang w:val="en-US" w:eastAsia="zh-CN"/>
                <w14:textFill>
                  <w14:solidFill>
                    <w14:schemeClr w14:val="tx1"/>
                  </w14:solidFill>
                </w14:textFill>
              </w:rPr>
              <w:t>8</w:t>
            </w:r>
            <w:r>
              <w:rPr>
                <w:rFonts w:hint="eastAsia" w:ascii="宋体" w:hAnsi="宋体" w:eastAsia="宋体" w:cs="宋体"/>
                <w:color w:val="000000" w:themeColor="text1"/>
                <w:sz w:val="21"/>
                <w:szCs w:val="21"/>
                <w14:textFill>
                  <w14:solidFill>
                    <w14:schemeClr w14:val="tx1"/>
                  </w14:solidFill>
                </w14:textFill>
              </w:rPr>
              <w:t>年7月31日</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具体以采购人要求为准</w:t>
            </w:r>
            <w:r>
              <w:rPr>
                <w:rFonts w:hint="eastAsia" w:ascii="宋体" w:hAnsi="宋体" w:eastAsia="宋体" w:cs="宋体"/>
                <w:color w:val="000000" w:themeColor="text1"/>
                <w:sz w:val="21"/>
                <w:szCs w:val="21"/>
                <w:lang w:eastAsia="zh-CN"/>
                <w14:textFill>
                  <w14:solidFill>
                    <w14:schemeClr w14:val="tx1"/>
                  </w14:solidFill>
                </w14:textFill>
              </w:rPr>
              <w:t>）；</w:t>
            </w:r>
          </w:p>
          <w:p w14:paraId="2EADCDEE">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w:t>
            </w:r>
            <w:r>
              <w:rPr>
                <w:rFonts w:hint="eastAsia" w:ascii="宋体" w:hAnsi="宋体" w:eastAsia="宋体" w:cs="宋体"/>
                <w:color w:val="000000" w:themeColor="text1"/>
                <w:sz w:val="21"/>
                <w:szCs w:val="21"/>
                <w:lang w:val="zh-CN"/>
                <w14:textFill>
                  <w14:solidFill>
                    <w14:schemeClr w14:val="tx1"/>
                  </w14:solidFill>
                </w14:textFill>
              </w:rPr>
              <w:t>在保险期间内，被保险人新入职医务人员或离职医务人员的人数在投保医务人员总人数的10%以内的，可自动转入或转出保险合同，且不需要书面通知保险人，新入职医务人员可视为本保险合同的被保险人医务人员，保险人不加收或退还保险费。</w:t>
            </w:r>
          </w:p>
          <w:p w14:paraId="571DD714">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二、投保标的：医疗机构及医务人员。</w:t>
            </w:r>
          </w:p>
          <w:p w14:paraId="3B17EF36">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三、免赔：无。</w:t>
            </w:r>
          </w:p>
        </w:tc>
      </w:tr>
      <w:tr w14:paraId="21812821">
        <w:tblPrEx>
          <w:tblCellMar>
            <w:top w:w="0" w:type="dxa"/>
            <w:left w:w="108" w:type="dxa"/>
            <w:bottom w:w="0" w:type="dxa"/>
            <w:right w:w="108" w:type="dxa"/>
          </w:tblCellMar>
        </w:tblPrEx>
        <w:trPr>
          <w:trHeight w:val="1899" w:hRule="atLeast"/>
          <w:jc w:val="center"/>
        </w:trPr>
        <w:tc>
          <w:tcPr>
            <w:tcW w:w="2892" w:type="dxa"/>
            <w:gridSpan w:val="3"/>
            <w:tcBorders>
              <w:top w:val="single" w:color="auto" w:sz="4" w:space="0"/>
              <w:left w:val="single" w:color="auto" w:sz="8" w:space="0"/>
              <w:bottom w:val="single" w:color="000000" w:sz="8" w:space="0"/>
              <w:right w:val="single" w:color="auto" w:sz="4" w:space="0"/>
            </w:tcBorders>
            <w:noWrap w:val="0"/>
            <w:vAlign w:val="center"/>
          </w:tcPr>
          <w:p w14:paraId="39A299C0">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▲2.商务条款</w:t>
            </w:r>
          </w:p>
          <w:p w14:paraId="2653913D">
            <w:pPr>
              <w:pStyle w:val="13"/>
              <w:keepNext w:val="0"/>
              <w:keepLines w:val="0"/>
              <w:pageBreakBefore w:val="0"/>
              <w:kinsoku/>
              <w:wordWrap/>
              <w:overflowPunct/>
              <w:topLinePunct w:val="0"/>
              <w:autoSpaceDE/>
              <w:autoSpaceDN/>
              <w:bidi w:val="0"/>
              <w:adjustRightInd/>
              <w:snapToGrid/>
              <w:spacing w:line="460" w:lineRule="exact"/>
              <w:ind w:firstLine="480"/>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6594" w:type="dxa"/>
            <w:tcBorders>
              <w:top w:val="single" w:color="auto" w:sz="4" w:space="0"/>
              <w:left w:val="single" w:color="auto" w:sz="4" w:space="0"/>
              <w:bottom w:val="single" w:color="000000" w:sz="8" w:space="0"/>
              <w:right w:val="single" w:color="auto" w:sz="8" w:space="0"/>
            </w:tcBorders>
            <w:noWrap w:val="0"/>
            <w:vAlign w:val="top"/>
          </w:tcPr>
          <w:p w14:paraId="42A80F45">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一、合同签订时间</w:t>
            </w:r>
            <w:r>
              <w:rPr>
                <w:rFonts w:hint="eastAsia" w:ascii="宋体" w:hAnsi="宋体" w:eastAsia="宋体" w:cs="宋体"/>
                <w:color w:val="000000" w:themeColor="text1"/>
                <w:sz w:val="21"/>
                <w:szCs w:val="21"/>
                <w14:textFill>
                  <w14:solidFill>
                    <w14:schemeClr w14:val="tx1"/>
                  </w14:solidFill>
                </w14:textFill>
              </w:rPr>
              <w:t>: 自成交通知书发出之日起15日内。</w:t>
            </w:r>
          </w:p>
          <w:p w14:paraId="204AF448">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二、</w:t>
            </w:r>
            <w:r>
              <w:rPr>
                <w:rFonts w:hint="eastAsia" w:ascii="宋体" w:hAnsi="宋体" w:cs="宋体"/>
                <w:b/>
                <w:bCs/>
                <w:color w:val="000000" w:themeColor="text1"/>
                <w:sz w:val="21"/>
                <w:szCs w:val="21"/>
                <w:lang w:val="en-US" w:eastAsia="zh-CN"/>
                <w14:textFill>
                  <w14:solidFill>
                    <w14:schemeClr w14:val="tx1"/>
                  </w14:solidFill>
                </w14:textFill>
              </w:rPr>
              <w:t>服务时间</w:t>
            </w:r>
            <w:r>
              <w:rPr>
                <w:rFonts w:hint="eastAsia" w:ascii="宋体" w:hAnsi="宋体" w:eastAsia="宋体" w:cs="宋体"/>
                <w:color w:val="000000" w:themeColor="text1"/>
                <w:sz w:val="21"/>
                <w:szCs w:val="21"/>
                <w14:textFill>
                  <w14:solidFill>
                    <w14:schemeClr w14:val="tx1"/>
                  </w14:solidFill>
                </w14:textFill>
              </w:rPr>
              <w:t>：自保单生效之日起 1 年内（须</w:t>
            </w:r>
            <w:r>
              <w:rPr>
                <w:rFonts w:hint="eastAsia" w:ascii="宋体" w:hAnsi="宋体" w:eastAsia="宋体" w:cs="宋体"/>
                <w:color w:val="000000" w:themeColor="text1"/>
                <w:sz w:val="21"/>
                <w:szCs w:val="21"/>
                <w:lang w:val="en-US" w:eastAsia="zh-CN"/>
                <w14:textFill>
                  <w14:solidFill>
                    <w14:schemeClr w14:val="tx1"/>
                  </w14:solidFill>
                </w14:textFill>
              </w:rPr>
              <w:t>与</w:t>
            </w:r>
            <w:r>
              <w:rPr>
                <w:rFonts w:hint="eastAsia" w:ascii="宋体" w:hAnsi="宋体" w:eastAsia="宋体" w:cs="宋体"/>
                <w:color w:val="000000" w:themeColor="text1"/>
                <w:sz w:val="21"/>
                <w:szCs w:val="21"/>
                <w14:textFill>
                  <w14:solidFill>
                    <w14:schemeClr w14:val="tx1"/>
                  </w14:solidFill>
                </w14:textFill>
              </w:rPr>
              <w:t>采购人</w:t>
            </w:r>
            <w:r>
              <w:rPr>
                <w:rFonts w:hint="eastAsia" w:ascii="宋体" w:hAnsi="宋体" w:eastAsia="宋体" w:cs="宋体"/>
                <w:color w:val="000000" w:themeColor="text1"/>
                <w:sz w:val="21"/>
                <w:szCs w:val="21"/>
                <w:lang w:val="en-US" w:eastAsia="zh-CN"/>
                <w14:textFill>
                  <w14:solidFill>
                    <w14:schemeClr w14:val="tx1"/>
                  </w14:solidFill>
                </w14:textFill>
              </w:rPr>
              <w:t>上</w:t>
            </w:r>
            <w:r>
              <w:rPr>
                <w:rFonts w:hint="eastAsia" w:ascii="宋体" w:hAnsi="宋体" w:eastAsia="宋体" w:cs="宋体"/>
                <w:color w:val="000000" w:themeColor="text1"/>
                <w:sz w:val="21"/>
                <w:szCs w:val="21"/>
                <w14:textFill>
                  <w14:solidFill>
                    <w14:schemeClr w14:val="tx1"/>
                  </w14:solidFill>
                </w14:textFill>
              </w:rPr>
              <w:t>期保单无缝对</w:t>
            </w:r>
            <w:r>
              <w:rPr>
                <w:rFonts w:hint="eastAsia" w:ascii="宋体" w:hAnsi="宋体" w:eastAsia="宋体" w:cs="宋体"/>
                <w:color w:val="000000" w:themeColor="text1"/>
                <w:sz w:val="21"/>
                <w:szCs w:val="21"/>
                <w:lang w:val="en-US" w:eastAsia="zh-CN"/>
                <w14:textFill>
                  <w14:solidFill>
                    <w14:schemeClr w14:val="tx1"/>
                  </w14:solidFill>
                </w14:textFill>
              </w:rPr>
              <w:t>接</w:t>
            </w:r>
            <w:r>
              <w:rPr>
                <w:rFonts w:hint="eastAsia" w:ascii="宋体" w:hAnsi="宋体" w:eastAsia="宋体" w:cs="宋体"/>
                <w:color w:val="000000" w:themeColor="text1"/>
                <w:sz w:val="21"/>
                <w:szCs w:val="21"/>
                <w14:textFill>
                  <w14:solidFill>
                    <w14:schemeClr w14:val="tx1"/>
                  </w14:solidFill>
                </w14:textFill>
              </w:rPr>
              <w:t>）。</w:t>
            </w:r>
          </w:p>
          <w:p w14:paraId="4DBA288B">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三、提交服务成果地点</w:t>
            </w:r>
            <w:r>
              <w:rPr>
                <w:rFonts w:hint="eastAsia" w:ascii="宋体" w:hAnsi="宋体" w:eastAsia="宋体" w:cs="宋体"/>
                <w:color w:val="000000" w:themeColor="text1"/>
                <w:sz w:val="21"/>
                <w:szCs w:val="21"/>
                <w14:textFill>
                  <w14:solidFill>
                    <w14:schemeClr w14:val="tx1"/>
                  </w14:solidFill>
                </w14:textFill>
              </w:rPr>
              <w:t>：采购人指定地点</w:t>
            </w:r>
          </w:p>
          <w:p w14:paraId="422BEF94">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四、服务要求</w:t>
            </w:r>
            <w:r>
              <w:rPr>
                <w:rFonts w:hint="eastAsia" w:ascii="宋体" w:hAnsi="宋体" w:eastAsia="宋体" w:cs="宋体"/>
                <w:color w:val="000000" w:themeColor="text1"/>
                <w:sz w:val="21"/>
                <w:szCs w:val="21"/>
                <w14:textFill>
                  <w14:solidFill>
                    <w14:schemeClr w14:val="tx1"/>
                  </w14:solidFill>
                </w14:textFill>
              </w:rPr>
              <w:t>：处理问题响应时间：接到采购人处理问题通知后应30分钟内联系采购人，4小时内到达采购人指定现场。</w:t>
            </w:r>
          </w:p>
          <w:p w14:paraId="2E5EA0F8">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五、理赔服务</w:t>
            </w:r>
            <w:r>
              <w:rPr>
                <w:rFonts w:hint="eastAsia" w:ascii="宋体" w:hAnsi="宋体" w:eastAsia="宋体" w:cs="宋体"/>
                <w:color w:val="000000" w:themeColor="text1"/>
                <w:sz w:val="21"/>
                <w:szCs w:val="21"/>
                <w14:textFill>
                  <w14:solidFill>
                    <w14:schemeClr w14:val="tx1"/>
                  </w14:solidFill>
                </w14:textFill>
              </w:rPr>
              <w:t>:</w:t>
            </w:r>
          </w:p>
          <w:p w14:paraId="2BD196EC">
            <w:pPr>
              <w:keepNext w:val="0"/>
              <w:keepLines w:val="0"/>
              <w:pageBreakBefore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1、提供保险报案、客户咨询服务专线，24 小时受理报案服务及保险理赔咨询服务。</w:t>
            </w:r>
          </w:p>
          <w:p w14:paraId="354AD3B8">
            <w:pPr>
              <w:keepNext w:val="0"/>
              <w:keepLines w:val="0"/>
              <w:pageBreakBefore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2、设置专顶保险服务小组及建立客户投诉机制，根据需要参与调解。</w:t>
            </w:r>
          </w:p>
          <w:p w14:paraId="34FC91C6">
            <w:pPr>
              <w:keepNext w:val="0"/>
              <w:keepLines w:val="0"/>
              <w:pageBreakBefore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3、理赔时效:</w:t>
            </w:r>
          </w:p>
          <w:p w14:paraId="642EAE37">
            <w:pPr>
              <w:keepNext w:val="0"/>
              <w:keepLines w:val="0"/>
              <w:pageBreakBefore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(1)一般医疗类付案件，责任明确，理赔申请材料齐全的，应在</w:t>
            </w:r>
            <w:r>
              <w:rPr>
                <w:rFonts w:hint="eastAsia" w:ascii="宋体" w:hAnsi="宋体" w:cs="宋体"/>
                <w:color w:val="000000" w:themeColor="text1"/>
                <w:sz w:val="21"/>
                <w:szCs w:val="21"/>
                <w:lang w:val="en-US" w:eastAsia="zh-CN"/>
                <w14:textFill>
                  <w14:solidFill>
                    <w14:schemeClr w14:val="tx1"/>
                  </w14:solidFill>
                </w14:textFill>
              </w:rPr>
              <w:t>10</w:t>
            </w:r>
            <w:r>
              <w:rPr>
                <w:rFonts w:hint="eastAsia" w:ascii="宋体" w:hAnsi="宋体" w:eastAsia="宋体" w:cs="宋体"/>
                <w:color w:val="000000" w:themeColor="text1"/>
                <w:sz w:val="21"/>
                <w:szCs w:val="21"/>
                <w14:textFill>
                  <w14:solidFill>
                    <w14:schemeClr w14:val="tx1"/>
                  </w14:solidFill>
                </w14:textFill>
              </w:rPr>
              <w:t>个工作日完成审核赔付。</w:t>
            </w:r>
          </w:p>
          <w:p w14:paraId="4B8F908A">
            <w:pPr>
              <w:keepNext w:val="0"/>
              <w:keepLines w:val="0"/>
              <w:pageBreakBefore w:val="0"/>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(2)涉及身故、伤残类案件，责任明确，理赔申材料齐全的，应在</w:t>
            </w:r>
            <w:r>
              <w:rPr>
                <w:rFonts w:hint="eastAsia" w:ascii="宋体" w:hAnsi="宋体" w:cs="宋体"/>
                <w:color w:val="000000" w:themeColor="text1"/>
                <w:sz w:val="21"/>
                <w:szCs w:val="21"/>
                <w:lang w:val="en-US" w:eastAsia="zh-CN"/>
                <w14:textFill>
                  <w14:solidFill>
                    <w14:schemeClr w14:val="tx1"/>
                  </w14:solidFill>
                </w14:textFill>
              </w:rPr>
              <w:t>30</w:t>
            </w:r>
            <w:r>
              <w:rPr>
                <w:rFonts w:hint="eastAsia" w:ascii="宋体" w:hAnsi="宋体" w:eastAsia="宋体" w:cs="宋体"/>
                <w:color w:val="000000" w:themeColor="text1"/>
                <w:sz w:val="21"/>
                <w:szCs w:val="21"/>
                <w14:textFill>
                  <w14:solidFill>
                    <w14:schemeClr w14:val="tx1"/>
                  </w14:solidFill>
                </w14:textFill>
              </w:rPr>
              <w:t>个工作日款完成审核赔付。</w:t>
            </w:r>
          </w:p>
          <w:p w14:paraId="64C4E32E">
            <w:pPr>
              <w:pStyle w:val="31"/>
              <w:keepNext w:val="0"/>
              <w:keepLines w:val="0"/>
              <w:pageBreakBefore w:val="0"/>
              <w:kinsoku/>
              <w:wordWrap/>
              <w:overflowPunct/>
              <w:topLinePunct w:val="0"/>
              <w:autoSpaceDE/>
              <w:autoSpaceDN/>
              <w:bidi w:val="0"/>
              <w:spacing w:before="0" w:beforeAutospacing="0" w:after="0" w:afterAutospacing="0" w:line="460" w:lineRule="exact"/>
              <w:jc w:val="both"/>
              <w:rPr>
                <w:rFonts w:hint="default"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六、保费支付</w:t>
            </w:r>
          </w:p>
          <w:p w14:paraId="56FE7F23">
            <w:pPr>
              <w:pStyle w:val="31"/>
              <w:keepNext w:val="0"/>
              <w:keepLines w:val="0"/>
              <w:pageBreakBefore w:val="0"/>
              <w:kinsoku/>
              <w:wordWrap/>
              <w:overflowPunct/>
              <w:topLinePunct w:val="0"/>
              <w:autoSpaceDE/>
              <w:autoSpaceDN/>
              <w:bidi w:val="0"/>
              <w:spacing w:before="0" w:beforeAutospacing="0" w:after="0" w:afterAutospacing="0" w:line="460" w:lineRule="exact"/>
              <w:ind w:firstLine="420" w:firstLineChars="200"/>
              <w:jc w:val="both"/>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本项目无预付款，双方签订合同后，乙方应在5个工作日内开具</w:t>
            </w:r>
            <w:r>
              <w:rPr>
                <w:rFonts w:hint="eastAsia" w:cs="宋体"/>
                <w:color w:val="000000" w:themeColor="text1"/>
                <w:kern w:val="2"/>
                <w:sz w:val="21"/>
                <w:szCs w:val="21"/>
                <w:lang w:val="en-US" w:eastAsia="zh-CN"/>
                <w14:textFill>
                  <w14:solidFill>
                    <w14:schemeClr w14:val="tx1"/>
                  </w14:solidFill>
                </w14:textFill>
              </w:rPr>
              <w:t>当年</w:t>
            </w:r>
            <w:r>
              <w:rPr>
                <w:rFonts w:hint="eastAsia" w:ascii="宋体" w:hAnsi="宋体" w:eastAsia="宋体" w:cs="宋体"/>
                <w:color w:val="000000" w:themeColor="text1"/>
                <w:kern w:val="2"/>
                <w:sz w:val="21"/>
                <w:szCs w:val="21"/>
                <w14:textFill>
                  <w14:solidFill>
                    <w14:schemeClr w14:val="tx1"/>
                  </w14:solidFill>
                </w14:textFill>
              </w:rPr>
              <w:t>合同金额发票及保险单给甲方，甲方收到发票及保险单后在30个工作日内将</w:t>
            </w:r>
            <w:r>
              <w:rPr>
                <w:rFonts w:hint="eastAsia" w:cs="宋体"/>
                <w:color w:val="000000" w:themeColor="text1"/>
                <w:kern w:val="2"/>
                <w:sz w:val="21"/>
                <w:szCs w:val="21"/>
                <w:lang w:val="en-US" w:eastAsia="zh-CN"/>
                <w14:textFill>
                  <w14:solidFill>
                    <w14:schemeClr w14:val="tx1"/>
                  </w14:solidFill>
                </w14:textFill>
              </w:rPr>
              <w:t>当年</w:t>
            </w:r>
            <w:r>
              <w:rPr>
                <w:rFonts w:hint="eastAsia" w:ascii="宋体" w:hAnsi="宋体" w:eastAsia="宋体" w:cs="宋体"/>
                <w:color w:val="000000" w:themeColor="text1"/>
                <w:kern w:val="2"/>
                <w:sz w:val="21"/>
                <w:szCs w:val="21"/>
                <w14:textFill>
                  <w14:solidFill>
                    <w14:schemeClr w14:val="tx1"/>
                  </w14:solidFill>
                </w14:textFill>
              </w:rPr>
              <w:t>合同金额的55%转账至乙方账户，剩余金额的45%于</w:t>
            </w:r>
            <w:r>
              <w:rPr>
                <w:rFonts w:hint="eastAsia" w:cs="宋体"/>
                <w:color w:val="000000" w:themeColor="text1"/>
                <w:kern w:val="2"/>
                <w:sz w:val="21"/>
                <w:szCs w:val="21"/>
                <w:lang w:val="en-US" w:eastAsia="zh-CN"/>
                <w14:textFill>
                  <w14:solidFill>
                    <w14:schemeClr w14:val="tx1"/>
                  </w14:solidFill>
                </w14:textFill>
              </w:rPr>
              <w:t>三个月</w:t>
            </w:r>
            <w:r>
              <w:rPr>
                <w:rFonts w:hint="eastAsia" w:ascii="宋体" w:hAnsi="宋体" w:eastAsia="宋体" w:cs="宋体"/>
                <w:color w:val="000000" w:themeColor="text1"/>
                <w:kern w:val="2"/>
                <w:sz w:val="21"/>
                <w:szCs w:val="21"/>
                <w14:textFill>
                  <w14:solidFill>
                    <w14:schemeClr w14:val="tx1"/>
                  </w14:solidFill>
                </w14:textFill>
              </w:rPr>
              <w:t>内支付。</w:t>
            </w:r>
            <w:r>
              <w:rPr>
                <w:rFonts w:hint="eastAsia" w:cs="宋体"/>
                <w:color w:val="FF0000"/>
                <w:kern w:val="2"/>
                <w:sz w:val="21"/>
                <w:szCs w:val="21"/>
                <w:lang w:eastAsia="zh-CN"/>
              </w:rPr>
              <w:t>（</w:t>
            </w:r>
            <w:r>
              <w:rPr>
                <w:rFonts w:hint="eastAsia" w:cs="宋体"/>
                <w:color w:val="FF0000"/>
                <w:kern w:val="2"/>
                <w:sz w:val="21"/>
                <w:szCs w:val="21"/>
                <w:lang w:val="en-US" w:eastAsia="zh-CN"/>
              </w:rPr>
              <w:t>第二、第三年保费支付时间参照合同</w:t>
            </w:r>
            <w:bookmarkStart w:id="3" w:name="_GoBack"/>
            <w:bookmarkEnd w:id="3"/>
            <w:r>
              <w:rPr>
                <w:rFonts w:hint="eastAsia" w:cs="宋体"/>
                <w:color w:val="FF0000"/>
                <w:kern w:val="2"/>
                <w:sz w:val="21"/>
                <w:szCs w:val="21"/>
                <w:lang w:val="en-US" w:eastAsia="zh-CN"/>
              </w:rPr>
              <w:t>逐年支付</w:t>
            </w:r>
            <w:r>
              <w:rPr>
                <w:rFonts w:hint="eastAsia" w:cs="宋体"/>
                <w:color w:val="FF0000"/>
                <w:kern w:val="2"/>
                <w:sz w:val="21"/>
                <w:szCs w:val="21"/>
                <w:lang w:eastAsia="zh-CN"/>
              </w:rPr>
              <w:t>）</w:t>
            </w:r>
          </w:p>
          <w:p w14:paraId="4CBD4FDF">
            <w:pPr>
              <w:keepNext w:val="0"/>
              <w:keepLines w:val="0"/>
              <w:pageBreakBefore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七</w:t>
            </w:r>
            <w:r>
              <w:rPr>
                <w:rFonts w:hint="eastAsia" w:ascii="宋体" w:hAnsi="宋体" w:eastAsia="宋体" w:cs="宋体"/>
                <w:b/>
                <w:bCs/>
                <w:color w:val="000000" w:themeColor="text1"/>
                <w:sz w:val="21"/>
                <w:szCs w:val="21"/>
                <w14:textFill>
                  <w14:solidFill>
                    <w14:schemeClr w14:val="tx1"/>
                  </w14:solidFill>
                </w14:textFill>
              </w:rPr>
              <w:t>、其他要求</w:t>
            </w:r>
            <w:r>
              <w:rPr>
                <w:rFonts w:hint="eastAsia" w:ascii="宋体" w:hAnsi="宋体" w:eastAsia="宋体" w:cs="宋体"/>
                <w:color w:val="000000" w:themeColor="text1"/>
                <w:sz w:val="21"/>
                <w:szCs w:val="21"/>
                <w14:textFill>
                  <w14:solidFill>
                    <w14:schemeClr w14:val="tx1"/>
                  </w14:solidFill>
                </w14:textFill>
              </w:rPr>
              <w:t>：</w:t>
            </w:r>
          </w:p>
          <w:p w14:paraId="7B53CABF">
            <w:pPr>
              <w:keepNext w:val="0"/>
              <w:keepLines w:val="0"/>
              <w:pageBreakBefore w:val="0"/>
              <w:kinsoku/>
              <w:wordWrap/>
              <w:overflowPunct/>
              <w:topLinePunct w:val="0"/>
              <w:autoSpaceDE/>
              <w:autoSpaceDN/>
              <w:bidi w:val="0"/>
              <w:adjustRightInd/>
              <w:snapToGrid/>
              <w:spacing w:before="160" w:line="460" w:lineRule="exact"/>
              <w:ind w:left="45" w:right="24" w:firstLine="445"/>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磋商报价必须包含满足本次磋商全部采购需求所应提供的服务，以及伴随的服务；包含竞标服务、技术服务、咨询、税费、运营日常用品用具的消耗和折旧费、行政办公用品及资料印刷、服务清单涵盖的所有项目等全部费用；</w:t>
            </w:r>
          </w:p>
          <w:p w14:paraId="7BB5FABD">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themeColor="text1"/>
                <w:sz w:val="21"/>
                <w:szCs w:val="21"/>
                <w14:textFill>
                  <w14:solidFill>
                    <w14:schemeClr w14:val="tx1"/>
                  </w14:solidFill>
                </w14:textFill>
              </w:rPr>
            </w:pPr>
          </w:p>
        </w:tc>
      </w:tr>
    </w:tbl>
    <w:p w14:paraId="5DC2F423">
      <w:pPr>
        <w:rPr>
          <w:color w:val="000000" w:themeColor="text1"/>
          <w:highlight w:val="none"/>
          <w14:textFill>
            <w14:solidFill>
              <w14:schemeClr w14:val="tx1"/>
            </w14:solidFill>
          </w14:textFill>
        </w:rPr>
      </w:pPr>
    </w:p>
    <w:p w14:paraId="4EEB2F73">
      <w:pPr>
        <w:pStyle w:val="2"/>
        <w:jc w:val="center"/>
        <w:rPr>
          <w:rStyle w:val="53"/>
          <w:rFonts w:hint="eastAsia"/>
          <w:b/>
          <w:bCs/>
          <w:color w:val="000000" w:themeColor="text1"/>
          <w:highlight w:val="none"/>
          <w14:textFill>
            <w14:solidFill>
              <w14:schemeClr w14:val="tx1"/>
            </w14:solidFill>
          </w14:textFill>
        </w:rPr>
      </w:pPr>
      <w:bookmarkStart w:id="2" w:name="_Toc7344"/>
      <w:r>
        <w:rPr>
          <w:rStyle w:val="53"/>
          <w:rFonts w:hint="eastAsia"/>
          <w:b/>
          <w:bCs/>
          <w:color w:val="000000" w:themeColor="text1"/>
          <w:highlight w:val="none"/>
          <w14:textFill>
            <w14:solidFill>
              <w14:schemeClr w14:val="tx1"/>
            </w14:solidFill>
          </w14:textFill>
        </w:rPr>
        <w:br w:type="page"/>
      </w:r>
      <w:r>
        <w:rPr>
          <w:rStyle w:val="53"/>
          <w:rFonts w:hint="eastAsia"/>
          <w:b/>
          <w:bCs/>
          <w:color w:val="000000" w:themeColor="text1"/>
          <w:highlight w:val="none"/>
          <w14:textFill>
            <w14:solidFill>
              <w14:schemeClr w14:val="tx1"/>
            </w14:solidFill>
          </w14:textFill>
        </w:rPr>
        <w:t>评审办法</w:t>
      </w:r>
      <w:bookmarkEnd w:id="2"/>
    </w:p>
    <w:p w14:paraId="745EE473">
      <w:pPr>
        <w:pStyle w:val="57"/>
        <w:widowControl w:val="0"/>
        <w:wordWrap/>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w:t>
      </w:r>
      <w:r>
        <w:rPr>
          <w:rFonts w:hint="eastAsia" w:ascii="宋体" w:hAnsi="宋体" w:eastAsia="宋体" w:cs="宋体"/>
          <w:b/>
          <w:bCs/>
          <w:color w:val="000000" w:themeColor="text1"/>
          <w:sz w:val="21"/>
          <w:szCs w:val="21"/>
          <w:highlight w:val="none"/>
          <w14:textFill>
            <w14:solidFill>
              <w14:schemeClr w14:val="tx1"/>
            </w14:solidFill>
          </w14:textFill>
        </w:rPr>
        <w:t>评审依据及方式</w:t>
      </w:r>
    </w:p>
    <w:p w14:paraId="135259E0">
      <w:pPr>
        <w:pStyle w:val="57"/>
        <w:widowControl w:val="0"/>
        <w:wordWrap/>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 磋商小组构成：本采购项目的评委分别由依法组成的专家、采购单位代表共 3 人构成，其中专家人数不少于成员总数的三分之二。</w:t>
      </w:r>
    </w:p>
    <w:p w14:paraId="5286AE2D">
      <w:pPr>
        <w:pStyle w:val="57"/>
        <w:widowControl w:val="0"/>
        <w:wordWrap/>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（二）评标方式：以封闭方式进行。</w:t>
      </w:r>
    </w:p>
    <w:p w14:paraId="20EB718C">
      <w:pPr>
        <w:pStyle w:val="57"/>
        <w:widowControl w:val="0"/>
        <w:wordWrap/>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（三）采购人和采购代理机构、磋商小组成员要严格遵守相关法律制度，依法履行各自职责，公正、客观、审慎地组织和参与评审工作。</w:t>
      </w:r>
    </w:p>
    <w:p w14:paraId="64DDABB4">
      <w:pPr>
        <w:pStyle w:val="57"/>
        <w:widowControl w:val="0"/>
        <w:wordWrap/>
        <w:spacing w:line="440" w:lineRule="exact"/>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二、评定方法</w:t>
      </w:r>
    </w:p>
    <w:p w14:paraId="707D8DBC">
      <w:pPr>
        <w:pStyle w:val="57"/>
        <w:widowControl w:val="0"/>
        <w:wordWrap/>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（一）对进入详评的，采用百分制综合评分法。</w:t>
      </w:r>
    </w:p>
    <w:p w14:paraId="319A6441">
      <w:pPr>
        <w:pStyle w:val="57"/>
        <w:widowControl w:val="0"/>
        <w:wordWrap/>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（二）计分办法（按四舍五入取至百分位）：</w:t>
      </w:r>
    </w:p>
    <w:p w14:paraId="7A2C1A03">
      <w:pPr>
        <w:pStyle w:val="57"/>
        <w:widowControl w:val="0"/>
        <w:wordWrap/>
        <w:spacing w:line="440" w:lineRule="exact"/>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三</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评审</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因素及分值</w:t>
      </w:r>
    </w:p>
    <w:tbl>
      <w:tblPr>
        <w:tblStyle w:val="36"/>
        <w:tblW w:w="9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2155"/>
        <w:gridCol w:w="5721"/>
        <w:gridCol w:w="845"/>
      </w:tblGrid>
      <w:tr w14:paraId="482C9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1" w:type="dxa"/>
            <w:noWrap w:val="0"/>
            <w:vAlign w:val="center"/>
          </w:tcPr>
          <w:p w14:paraId="0F1137E2">
            <w:pPr>
              <w:widowControl/>
              <w:spacing w:line="360" w:lineRule="auto"/>
              <w:jc w:val="center"/>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序号</w:t>
            </w:r>
          </w:p>
        </w:tc>
        <w:tc>
          <w:tcPr>
            <w:tcW w:w="2155" w:type="dxa"/>
            <w:noWrap w:val="0"/>
            <w:vAlign w:val="center"/>
          </w:tcPr>
          <w:p w14:paraId="2721821C">
            <w:pPr>
              <w:widowControl/>
              <w:spacing w:line="360" w:lineRule="auto"/>
              <w:jc w:val="center"/>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评审因素</w:t>
            </w:r>
          </w:p>
        </w:tc>
        <w:tc>
          <w:tcPr>
            <w:tcW w:w="5721" w:type="dxa"/>
            <w:noWrap w:val="0"/>
            <w:vAlign w:val="center"/>
          </w:tcPr>
          <w:p w14:paraId="70E1257D">
            <w:pPr>
              <w:widowControl/>
              <w:spacing w:line="360" w:lineRule="auto"/>
              <w:jc w:val="center"/>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评审因素具体内容</w:t>
            </w:r>
          </w:p>
        </w:tc>
        <w:tc>
          <w:tcPr>
            <w:tcW w:w="845" w:type="dxa"/>
            <w:noWrap w:val="0"/>
            <w:vAlign w:val="center"/>
          </w:tcPr>
          <w:p w14:paraId="6DE06656">
            <w:pPr>
              <w:widowControl/>
              <w:spacing w:line="360" w:lineRule="auto"/>
              <w:jc w:val="center"/>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分值</w:t>
            </w:r>
          </w:p>
        </w:tc>
      </w:tr>
      <w:tr w14:paraId="244DD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1" w:type="dxa"/>
            <w:noWrap w:val="0"/>
            <w:vAlign w:val="center"/>
          </w:tcPr>
          <w:p w14:paraId="4D517CBE">
            <w:pPr>
              <w:widowControl/>
              <w:spacing w:line="360" w:lineRule="auto"/>
              <w:jc w:val="center"/>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1</w:t>
            </w:r>
          </w:p>
        </w:tc>
        <w:tc>
          <w:tcPr>
            <w:tcW w:w="2155" w:type="dxa"/>
            <w:noWrap w:val="0"/>
            <w:vAlign w:val="center"/>
          </w:tcPr>
          <w:p w14:paraId="35F251D1">
            <w:pPr>
              <w:widowControl/>
              <w:spacing w:line="360" w:lineRule="auto"/>
              <w:jc w:val="center"/>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价格分</w:t>
            </w:r>
          </w:p>
        </w:tc>
        <w:tc>
          <w:tcPr>
            <w:tcW w:w="5721" w:type="dxa"/>
            <w:noWrap w:val="0"/>
            <w:vAlign w:val="top"/>
          </w:tcPr>
          <w:p w14:paraId="4E4E45B2">
            <w:pPr>
              <w:widowControl/>
              <w:spacing w:line="360" w:lineRule="auto"/>
              <w:jc w:val="center"/>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评审因素</w:t>
            </w:r>
          </w:p>
        </w:tc>
        <w:tc>
          <w:tcPr>
            <w:tcW w:w="845" w:type="dxa"/>
            <w:noWrap w:val="0"/>
            <w:vAlign w:val="top"/>
          </w:tcPr>
          <w:p w14:paraId="72E7CB1A">
            <w:pPr>
              <w:widowControl/>
              <w:spacing w:line="360" w:lineRule="auto"/>
              <w:jc w:val="center"/>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分值</w:t>
            </w:r>
          </w:p>
        </w:tc>
      </w:tr>
      <w:tr w14:paraId="07831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1" w:type="dxa"/>
            <w:noWrap w:val="0"/>
            <w:vAlign w:val="center"/>
          </w:tcPr>
          <w:p w14:paraId="47B83DD3">
            <w:pPr>
              <w:widowControl/>
              <w:spacing w:line="360" w:lineRule="auto"/>
              <w:jc w:val="center"/>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1.1</w:t>
            </w:r>
          </w:p>
        </w:tc>
        <w:tc>
          <w:tcPr>
            <w:tcW w:w="2155" w:type="dxa"/>
            <w:noWrap w:val="0"/>
            <w:vAlign w:val="center"/>
          </w:tcPr>
          <w:p w14:paraId="62C6ED8C">
            <w:pPr>
              <w:widowControl/>
              <w:spacing w:line="360" w:lineRule="auto"/>
              <w:jc w:val="center"/>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价格分</w:t>
            </w:r>
          </w:p>
        </w:tc>
        <w:tc>
          <w:tcPr>
            <w:tcW w:w="5721" w:type="dxa"/>
            <w:noWrap w:val="0"/>
            <w:vAlign w:val="top"/>
          </w:tcPr>
          <w:p w14:paraId="7BDB7E17">
            <w:pPr>
              <w:pStyle w:val="20"/>
              <w:widowControl w:val="0"/>
              <w:wordWrap/>
              <w:spacing w:line="440" w:lineRule="exact"/>
              <w:ind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（1）评标价为供应商的磋商报价进行政策性扣除后的价格，评标价只是作为评标时使用。最终成交供应商的成交价＝磋商报价。</w:t>
            </w:r>
          </w:p>
          <w:p w14:paraId="0D4B71EC">
            <w:pPr>
              <w:pStyle w:val="20"/>
              <w:widowControl w:val="0"/>
              <w:wordWrap/>
              <w:spacing w:line="440" w:lineRule="exact"/>
              <w:ind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供应商为大中型企业与小型、微型企业组成联合体参与</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w:t>
            </w:r>
            <w:r>
              <w:rPr>
                <w:rFonts w:hint="eastAsia" w:ascii="宋体" w:hAnsi="宋体" w:eastAsia="宋体" w:cs="宋体"/>
                <w:color w:val="000000" w:themeColor="text1"/>
                <w:sz w:val="21"/>
                <w:szCs w:val="21"/>
                <w:highlight w:val="none"/>
                <w14:textFill>
                  <w14:solidFill>
                    <w14:schemeClr w14:val="tx1"/>
                  </w14:solidFill>
                </w14:textFill>
              </w:rPr>
              <w:t>，其中小型、微型企业的协议合同金额占到联合体协议合同总金额 30%以上（供应商须于《联合体协议书》中明确约定小型、微型企业的协议合同金额及所占比例，该金额应与谈判报价表所报金额对应一致），联合体供应商最后报价给予2%的价格扣除，扣除后的价格为评审报价，即评审报价=最后报价×（1-2%）</w:t>
            </w:r>
          </w:p>
          <w:p w14:paraId="76F4528A">
            <w:pPr>
              <w:pStyle w:val="20"/>
              <w:widowControl w:val="0"/>
              <w:wordWrap/>
              <w:spacing w:line="440" w:lineRule="exact"/>
              <w:ind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按照《政府采购促进中小企业发展管理办法》（财库〔2020〕46号）的规定，磋商供应商认定为小型和微型企业的（以响应文件提供《中小企业声明函》为准），对磋商报价给予20%的扣除，扣除后的价格为评标价，即评标价=磋商报价×（1-20%）；除上述情况外，评标价=磋商报价。</w:t>
            </w:r>
          </w:p>
          <w:p w14:paraId="7DCC7FE8">
            <w:pPr>
              <w:pStyle w:val="20"/>
              <w:widowControl w:val="0"/>
              <w:wordWrap/>
              <w:spacing w:line="440" w:lineRule="exact"/>
              <w:ind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Cs/>
                <w:color w:val="000000" w:themeColor="text1"/>
                <w:sz w:val="21"/>
                <w:szCs w:val="21"/>
                <w:highlight w:val="none"/>
                <w14:textFill>
                  <w14:solidFill>
                    <w14:schemeClr w14:val="tx1"/>
                  </w14:solidFill>
                </w14:textFill>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14:paraId="3828D6A4">
            <w:pPr>
              <w:pStyle w:val="20"/>
              <w:widowControl w:val="0"/>
              <w:wordWrap/>
              <w:spacing w:line="440" w:lineRule="exact"/>
              <w:ind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Cs/>
                <w:color w:val="000000" w:themeColor="text1"/>
                <w:sz w:val="21"/>
                <w:szCs w:val="21"/>
                <w:highlight w:val="none"/>
                <w14:textFill>
                  <w14:solidFill>
                    <w14:schemeClr w14:val="tx1"/>
                  </w14:solidFill>
                </w14:textFill>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66F09860">
            <w:pPr>
              <w:pStyle w:val="20"/>
              <w:widowControl w:val="0"/>
              <w:wordWrap/>
              <w:spacing w:line="440" w:lineRule="exact"/>
              <w:ind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6</w:t>
            </w:r>
            <w:r>
              <w:rPr>
                <w:rFonts w:hint="eastAsia" w:ascii="宋体" w:hAnsi="宋体" w:eastAsia="宋体" w:cs="宋体"/>
                <w:bCs/>
                <w:color w:val="000000" w:themeColor="text1"/>
                <w:sz w:val="21"/>
                <w:szCs w:val="21"/>
                <w:highlight w:val="none"/>
                <w14:textFill>
                  <w14:solidFill>
                    <w14:schemeClr w14:val="tx1"/>
                  </w14:solidFill>
                </w14:textFill>
              </w:rPr>
              <w:t>）以进入综合评分环节的最低的评标价为基准价，基准价报价得分为</w:t>
            </w:r>
            <w:r>
              <w:rPr>
                <w:rFonts w:hint="eastAsia" w:hAnsi="宋体" w:cs="宋体"/>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Cs/>
                <w:color w:val="000000" w:themeColor="text1"/>
                <w:sz w:val="21"/>
                <w:szCs w:val="21"/>
                <w:highlight w:val="none"/>
                <w14:textFill>
                  <w14:solidFill>
                    <w14:schemeClr w14:val="tx1"/>
                  </w14:solidFill>
                </w14:textFill>
              </w:rPr>
              <w:t>0分。</w:t>
            </w:r>
          </w:p>
          <w:p w14:paraId="603E7E85">
            <w:pPr>
              <w:pStyle w:val="20"/>
              <w:widowControl w:val="0"/>
              <w:wordWrap/>
              <w:spacing w:line="440" w:lineRule="exact"/>
              <w:ind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7</w:t>
            </w:r>
            <w:r>
              <w:rPr>
                <w:rFonts w:hint="eastAsia" w:ascii="宋体" w:hAnsi="宋体" w:eastAsia="宋体" w:cs="宋体"/>
                <w:bCs/>
                <w:color w:val="000000" w:themeColor="text1"/>
                <w:sz w:val="21"/>
                <w:szCs w:val="21"/>
                <w:highlight w:val="none"/>
                <w14:textFill>
                  <w14:solidFill>
                    <w14:schemeClr w14:val="tx1"/>
                  </w14:solidFill>
                </w14:textFill>
              </w:rPr>
              <w:t>）价格分计算公式：</w:t>
            </w:r>
          </w:p>
          <w:p w14:paraId="343070A9">
            <w:pPr>
              <w:pStyle w:val="20"/>
              <w:widowControl w:val="0"/>
              <w:wordWrap/>
              <w:spacing w:line="440" w:lineRule="exact"/>
              <w:ind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某供应商价格分=基准价/某供应商评标价×</w:t>
            </w:r>
            <w:r>
              <w:rPr>
                <w:rFonts w:hint="eastAsia" w:hAnsi="宋体" w:cs="宋体"/>
                <w:bCs/>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Cs/>
                <w:color w:val="000000" w:themeColor="text1"/>
                <w:sz w:val="21"/>
                <w:szCs w:val="21"/>
                <w:highlight w:val="none"/>
                <w14:textFill>
                  <w14:solidFill>
                    <w14:schemeClr w14:val="tx1"/>
                  </w14:solidFill>
                </w14:textFill>
              </w:rPr>
              <w:t>0分</w:t>
            </w:r>
          </w:p>
          <w:p w14:paraId="1DE3B26F">
            <w:pPr>
              <w:pStyle w:val="20"/>
              <w:widowControl w:val="0"/>
              <w:wordWrap/>
              <w:spacing w:line="440" w:lineRule="exact"/>
              <w:ind w:firstLine="420" w:firstLineChars="200"/>
              <w:textAlignment w:val="auto"/>
              <w:rPr>
                <w:rFonts w:hint="eastAsia"/>
                <w:color w:val="000000" w:themeColor="text1"/>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注：（1）评标价为供应商的磋商报价进行政策性扣除后的价格，评标价只是作为评标时使用。最终成交价＝磋商报价。</w:t>
            </w:r>
          </w:p>
        </w:tc>
        <w:tc>
          <w:tcPr>
            <w:tcW w:w="845" w:type="dxa"/>
            <w:noWrap w:val="0"/>
            <w:vAlign w:val="center"/>
          </w:tcPr>
          <w:p w14:paraId="22604A0F">
            <w:pPr>
              <w:widowControl/>
              <w:spacing w:line="360" w:lineRule="auto"/>
              <w:jc w:val="center"/>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10分</w:t>
            </w:r>
          </w:p>
        </w:tc>
      </w:tr>
      <w:tr w14:paraId="1BA94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41" w:type="dxa"/>
            <w:noWrap w:val="0"/>
            <w:vAlign w:val="center"/>
          </w:tcPr>
          <w:p w14:paraId="4AE91CCC">
            <w:pPr>
              <w:widowControl/>
              <w:spacing w:line="360" w:lineRule="auto"/>
              <w:jc w:val="center"/>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2</w:t>
            </w:r>
          </w:p>
        </w:tc>
        <w:tc>
          <w:tcPr>
            <w:tcW w:w="2155" w:type="dxa"/>
            <w:noWrap w:val="0"/>
            <w:vAlign w:val="center"/>
          </w:tcPr>
          <w:p w14:paraId="34D9FCE4">
            <w:pPr>
              <w:widowControl/>
              <w:spacing w:line="360" w:lineRule="auto"/>
              <w:jc w:val="center"/>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技术分</w:t>
            </w:r>
          </w:p>
        </w:tc>
        <w:tc>
          <w:tcPr>
            <w:tcW w:w="5721" w:type="dxa"/>
            <w:noWrap w:val="0"/>
            <w:vAlign w:val="top"/>
          </w:tcPr>
          <w:p w14:paraId="5EB7F741">
            <w:pPr>
              <w:widowControl/>
              <w:spacing w:line="360" w:lineRule="auto"/>
              <w:jc w:val="center"/>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评审因素</w:t>
            </w:r>
          </w:p>
        </w:tc>
        <w:tc>
          <w:tcPr>
            <w:tcW w:w="845" w:type="dxa"/>
            <w:noWrap w:val="0"/>
            <w:vAlign w:val="top"/>
          </w:tcPr>
          <w:p w14:paraId="722B7BD5">
            <w:pPr>
              <w:widowControl/>
              <w:spacing w:line="360" w:lineRule="auto"/>
              <w:jc w:val="center"/>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分值</w:t>
            </w:r>
          </w:p>
        </w:tc>
      </w:tr>
      <w:tr w14:paraId="40E9F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1" w:type="dxa"/>
            <w:noWrap w:val="0"/>
            <w:vAlign w:val="center"/>
          </w:tcPr>
          <w:p w14:paraId="272397A9">
            <w:pPr>
              <w:adjustRightInd w:val="0"/>
              <w:spacing w:line="360" w:lineRule="auto"/>
              <w:ind w:left="-105" w:leftChars="-50" w:right="-105" w:rightChars="-50"/>
              <w:jc w:val="center"/>
              <w:textAlignment w:val="baseline"/>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2.1</w:t>
            </w:r>
          </w:p>
        </w:tc>
        <w:tc>
          <w:tcPr>
            <w:tcW w:w="2155" w:type="dxa"/>
            <w:noWrap w:val="0"/>
            <w:vAlign w:val="center"/>
          </w:tcPr>
          <w:p w14:paraId="5A2AE536">
            <w:pPr>
              <w:adjustRightInd w:val="0"/>
              <w:spacing w:line="360" w:lineRule="auto"/>
              <w:jc w:val="center"/>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服务方案分</w:t>
            </w:r>
          </w:p>
        </w:tc>
        <w:tc>
          <w:tcPr>
            <w:tcW w:w="5721" w:type="dxa"/>
            <w:noWrap w:val="0"/>
            <w:vAlign w:val="center"/>
          </w:tcPr>
          <w:p w14:paraId="19A3F96F">
            <w:pPr>
              <w:pStyle w:val="57"/>
              <w:widowControl w:val="0"/>
              <w:wordWrap/>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评审小组根据响应文件中</w:t>
            </w:r>
            <w:r>
              <w:rPr>
                <w:rFonts w:hint="eastAsia" w:ascii="宋体" w:hAnsi="宋体" w:eastAsia="宋体" w:cs="宋体"/>
                <w:color w:val="000000" w:themeColor="text1"/>
                <w:sz w:val="21"/>
                <w:szCs w:val="21"/>
                <w:highlight w:val="none"/>
                <w:lang w:val="en-US" w:eastAsia="zh-CN"/>
                <w14:textFill>
                  <w14:solidFill>
                    <w14:schemeClr w14:val="tx1"/>
                  </w14:solidFill>
                </w14:textFill>
              </w:rPr>
              <w:t>服务方</w:t>
            </w:r>
            <w:r>
              <w:rPr>
                <w:rFonts w:hint="eastAsia" w:ascii="宋体" w:hAnsi="宋体" w:eastAsia="宋体" w:cs="宋体"/>
                <w:color w:val="000000" w:themeColor="text1"/>
                <w:sz w:val="21"/>
                <w:szCs w:val="21"/>
                <w:highlight w:val="none"/>
                <w14:textFill>
                  <w14:solidFill>
                    <w14:schemeClr w14:val="tx1"/>
                  </w14:solidFill>
                </w14:textFill>
              </w:rPr>
              <w:t>案，对比各供应商的响应文件，独立评审并在档次内打分。</w:t>
            </w:r>
          </w:p>
          <w:p w14:paraId="4870FA18">
            <w:pPr>
              <w:pStyle w:val="57"/>
              <w:widowControl w:val="0"/>
              <w:wordWrap/>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服务方案</w:t>
            </w:r>
            <w:r>
              <w:rPr>
                <w:rFonts w:hint="eastAsia" w:ascii="宋体" w:hAnsi="宋体" w:eastAsia="宋体" w:cs="宋体"/>
                <w:color w:val="000000" w:themeColor="text1"/>
                <w:sz w:val="21"/>
                <w:szCs w:val="21"/>
                <w:highlight w:val="none"/>
                <w14:textFill>
                  <w14:solidFill>
                    <w14:schemeClr w14:val="tx1"/>
                  </w14:solidFill>
                </w14:textFill>
              </w:rPr>
              <w:t>包含但不限于：服务承诺、服务方案、服务流程、结案理赔时效承诺。</w:t>
            </w:r>
          </w:p>
          <w:p w14:paraId="70607283">
            <w:pPr>
              <w:widowControl/>
              <w:spacing w:line="360" w:lineRule="auto"/>
              <w:ind w:firstLine="420"/>
              <w:rPr>
                <w:rFonts w:hint="eastAsia" w:ascii="宋体" w:hAnsi="宋体" w:eastAsia="宋体" w:cs="宋体"/>
                <w:bCs w:val="0"/>
                <w:color w:val="000000" w:themeColor="text1"/>
                <w:sz w:val="21"/>
                <w:szCs w:val="21"/>
                <w:highlight w:val="none"/>
                <w14:textFill>
                  <w14:solidFill>
                    <w14:schemeClr w14:val="tx1"/>
                  </w14:solidFill>
                </w14:textFill>
              </w:rPr>
            </w:pPr>
            <w:r>
              <w:rPr>
                <w:rFonts w:hint="eastAsia" w:ascii="宋体" w:hAnsi="宋体" w:eastAsia="宋体" w:cs="宋体"/>
                <w:bCs w:val="0"/>
                <w:color w:val="000000" w:themeColor="text1"/>
                <w:sz w:val="21"/>
                <w:szCs w:val="21"/>
                <w:highlight w:val="none"/>
                <w14:textFill>
                  <w14:solidFill>
                    <w14:schemeClr w14:val="tx1"/>
                  </w14:solidFill>
                </w14:textFill>
              </w:rPr>
              <w:t>一档（</w:t>
            </w:r>
            <w:r>
              <w:rPr>
                <w:rFonts w:hint="eastAsia" w:ascii="宋体" w:hAnsi="宋体" w:eastAsia="宋体" w:cs="宋体"/>
                <w:bCs w:val="0"/>
                <w:color w:val="000000" w:themeColor="text1"/>
                <w:sz w:val="21"/>
                <w:szCs w:val="21"/>
                <w:highlight w:val="none"/>
                <w:lang w:val="en-US" w:eastAsia="zh-CN"/>
                <w14:textFill>
                  <w14:solidFill>
                    <w14:schemeClr w14:val="tx1"/>
                  </w14:solidFill>
                </w14:textFill>
              </w:rPr>
              <w:t>18</w:t>
            </w:r>
            <w:r>
              <w:rPr>
                <w:rFonts w:hint="eastAsia" w:ascii="宋体" w:hAnsi="宋体" w:eastAsia="宋体" w:cs="宋体"/>
                <w:bCs w:val="0"/>
                <w:color w:val="000000" w:themeColor="text1"/>
                <w:sz w:val="21"/>
                <w:szCs w:val="21"/>
                <w:highlight w:val="none"/>
                <w14:textFill>
                  <w14:solidFill>
                    <w14:schemeClr w14:val="tx1"/>
                  </w14:solidFill>
                </w14:textFill>
              </w:rPr>
              <w:t>分）：完整周全、重点突出、编制思路明晰、难点把握准且作出深入分析，</w:t>
            </w:r>
            <w:r>
              <w:rPr>
                <w:rFonts w:hint="eastAsia" w:ascii="宋体" w:hAnsi="宋体" w:eastAsia="宋体" w:cs="宋体"/>
                <w:bCs w:val="0"/>
                <w:color w:val="000000" w:themeColor="text1"/>
                <w:sz w:val="21"/>
                <w:szCs w:val="21"/>
                <w:highlight w:val="none"/>
                <w:lang w:val="en-US" w:eastAsia="zh-CN"/>
                <w14:textFill>
                  <w14:solidFill>
                    <w14:schemeClr w14:val="tx1"/>
                  </w14:solidFill>
                </w14:textFill>
              </w:rPr>
              <w:t>方案</w:t>
            </w:r>
            <w:r>
              <w:rPr>
                <w:rFonts w:hint="eastAsia" w:ascii="宋体" w:hAnsi="宋体" w:eastAsia="宋体" w:cs="宋体"/>
                <w:bCs w:val="0"/>
                <w:color w:val="000000" w:themeColor="text1"/>
                <w:sz w:val="21"/>
                <w:szCs w:val="21"/>
                <w:highlight w:val="none"/>
                <w14:textFill>
                  <w14:solidFill>
                    <w14:schemeClr w14:val="tx1"/>
                  </w14:solidFill>
                </w14:textFill>
              </w:rPr>
              <w:t>措施利于项目实际；</w:t>
            </w:r>
            <w:r>
              <w:rPr>
                <w:rFonts w:hint="eastAsia" w:ascii="宋体" w:hAnsi="宋体" w:eastAsia="宋体" w:cs="宋体"/>
                <w:color w:val="000000" w:themeColor="text1"/>
                <w:sz w:val="21"/>
                <w:szCs w:val="21"/>
                <w:highlight w:val="none"/>
                <w14:textFill>
                  <w14:solidFill>
                    <w14:schemeClr w14:val="tx1"/>
                  </w14:solidFill>
                </w14:textFill>
              </w:rPr>
              <w:t>服务承诺、服务方案、服务流程、结案理赔时效承诺</w:t>
            </w:r>
            <w:r>
              <w:rPr>
                <w:rFonts w:hint="eastAsia" w:ascii="宋体" w:hAnsi="宋体" w:eastAsia="宋体" w:cs="宋体"/>
                <w:bCs w:val="0"/>
                <w:color w:val="000000" w:themeColor="text1"/>
                <w:sz w:val="21"/>
                <w:szCs w:val="21"/>
                <w:highlight w:val="none"/>
                <w14:textFill>
                  <w14:solidFill>
                    <w14:schemeClr w14:val="tx1"/>
                  </w14:solidFill>
                </w14:textFill>
              </w:rPr>
              <w:t>详细、科学、清晰、明确；优于服务采购需求的要求。</w:t>
            </w:r>
          </w:p>
          <w:p w14:paraId="4D580ED2">
            <w:pPr>
              <w:widowControl/>
              <w:spacing w:line="360" w:lineRule="auto"/>
              <w:ind w:firstLine="420"/>
              <w:rPr>
                <w:rFonts w:hint="eastAsia" w:ascii="宋体" w:hAnsi="宋体" w:eastAsia="宋体" w:cs="宋体"/>
                <w:bCs w:val="0"/>
                <w:color w:val="000000" w:themeColor="text1"/>
                <w:sz w:val="21"/>
                <w:szCs w:val="21"/>
                <w:highlight w:val="none"/>
                <w14:textFill>
                  <w14:solidFill>
                    <w14:schemeClr w14:val="tx1"/>
                  </w14:solidFill>
                </w14:textFill>
              </w:rPr>
            </w:pPr>
            <w:r>
              <w:rPr>
                <w:rFonts w:hint="eastAsia" w:ascii="宋体" w:hAnsi="宋体" w:eastAsia="宋体" w:cs="宋体"/>
                <w:bCs w:val="0"/>
                <w:color w:val="000000" w:themeColor="text1"/>
                <w:sz w:val="21"/>
                <w:szCs w:val="21"/>
                <w:highlight w:val="none"/>
                <w14:textFill>
                  <w14:solidFill>
                    <w14:schemeClr w14:val="tx1"/>
                  </w14:solidFill>
                </w14:textFill>
              </w:rPr>
              <w:t>二档（</w:t>
            </w:r>
            <w:r>
              <w:rPr>
                <w:rFonts w:hint="eastAsia" w:ascii="宋体" w:hAnsi="宋体" w:eastAsia="宋体" w:cs="宋体"/>
                <w:bCs w:val="0"/>
                <w:color w:val="000000" w:themeColor="text1"/>
                <w:sz w:val="21"/>
                <w:szCs w:val="21"/>
                <w:highlight w:val="none"/>
                <w:lang w:val="en-US" w:eastAsia="zh-CN"/>
                <w14:textFill>
                  <w14:solidFill>
                    <w14:schemeClr w14:val="tx1"/>
                  </w14:solidFill>
                </w14:textFill>
              </w:rPr>
              <w:t>12</w:t>
            </w:r>
            <w:r>
              <w:rPr>
                <w:rFonts w:hint="eastAsia" w:ascii="宋体" w:hAnsi="宋体" w:eastAsia="宋体" w:cs="宋体"/>
                <w:bCs w:val="0"/>
                <w:color w:val="000000" w:themeColor="text1"/>
                <w:sz w:val="21"/>
                <w:szCs w:val="21"/>
                <w:highlight w:val="none"/>
                <w14:textFill>
                  <w14:solidFill>
                    <w14:schemeClr w14:val="tx1"/>
                  </w14:solidFill>
                </w14:textFill>
              </w:rPr>
              <w:t>分）：完整较周全，有重点、难点且作出简单分析，主要内容的编制思路较明晰，</w:t>
            </w:r>
            <w:r>
              <w:rPr>
                <w:rFonts w:hint="eastAsia" w:ascii="宋体" w:hAnsi="宋体" w:eastAsia="宋体" w:cs="宋体"/>
                <w:bCs w:val="0"/>
                <w:color w:val="000000" w:themeColor="text1"/>
                <w:sz w:val="21"/>
                <w:szCs w:val="21"/>
                <w:highlight w:val="none"/>
                <w:lang w:val="en-US" w:eastAsia="zh-CN"/>
                <w14:textFill>
                  <w14:solidFill>
                    <w14:schemeClr w14:val="tx1"/>
                  </w14:solidFill>
                </w14:textFill>
              </w:rPr>
              <w:t>方案</w:t>
            </w:r>
            <w:r>
              <w:rPr>
                <w:rFonts w:hint="eastAsia" w:ascii="宋体" w:hAnsi="宋体" w:eastAsia="宋体" w:cs="宋体"/>
                <w:bCs w:val="0"/>
                <w:color w:val="000000" w:themeColor="text1"/>
                <w:sz w:val="21"/>
                <w:szCs w:val="21"/>
                <w:highlight w:val="none"/>
                <w14:textFill>
                  <w14:solidFill>
                    <w14:schemeClr w14:val="tx1"/>
                  </w14:solidFill>
                </w14:textFill>
              </w:rPr>
              <w:t>措施符合项目实际；</w:t>
            </w:r>
            <w:r>
              <w:rPr>
                <w:rFonts w:hint="eastAsia" w:ascii="宋体" w:hAnsi="宋体" w:eastAsia="宋体" w:cs="宋体"/>
                <w:color w:val="000000" w:themeColor="text1"/>
                <w:sz w:val="21"/>
                <w:szCs w:val="21"/>
                <w:highlight w:val="none"/>
                <w14:textFill>
                  <w14:solidFill>
                    <w14:schemeClr w14:val="tx1"/>
                  </w14:solidFill>
                </w14:textFill>
              </w:rPr>
              <w:t>服务承诺、服务方案、服务流程、结案理赔时效承诺</w:t>
            </w:r>
            <w:r>
              <w:rPr>
                <w:rFonts w:hint="eastAsia" w:ascii="宋体" w:hAnsi="宋体" w:eastAsia="宋体" w:cs="宋体"/>
                <w:bCs w:val="0"/>
                <w:color w:val="000000" w:themeColor="text1"/>
                <w:sz w:val="21"/>
                <w:szCs w:val="21"/>
                <w:highlight w:val="none"/>
                <w14:textFill>
                  <w14:solidFill>
                    <w14:schemeClr w14:val="tx1"/>
                  </w14:solidFill>
                </w14:textFill>
              </w:rPr>
              <w:t>内容较详细，可行性强；满足服务采购需求的要求；</w:t>
            </w:r>
          </w:p>
          <w:p w14:paraId="6AD8C55E">
            <w:pPr>
              <w:widowControl/>
              <w:spacing w:line="360" w:lineRule="auto"/>
              <w:ind w:firstLine="420"/>
              <w:rPr>
                <w:rFonts w:hint="eastAsia" w:ascii="宋体" w:hAnsi="宋体" w:eastAsia="宋体" w:cs="宋体"/>
                <w:bCs w:val="0"/>
                <w:color w:val="000000" w:themeColor="text1"/>
                <w:sz w:val="21"/>
                <w:szCs w:val="21"/>
                <w:highlight w:val="none"/>
                <w14:textFill>
                  <w14:solidFill>
                    <w14:schemeClr w14:val="tx1"/>
                  </w14:solidFill>
                </w14:textFill>
              </w:rPr>
            </w:pPr>
            <w:r>
              <w:rPr>
                <w:rFonts w:hint="eastAsia" w:ascii="宋体" w:hAnsi="宋体" w:eastAsia="宋体" w:cs="宋体"/>
                <w:bCs w:val="0"/>
                <w:color w:val="000000" w:themeColor="text1"/>
                <w:sz w:val="21"/>
                <w:szCs w:val="21"/>
                <w:highlight w:val="none"/>
                <w14:textFill>
                  <w14:solidFill>
                    <w14:schemeClr w14:val="tx1"/>
                  </w14:solidFill>
                </w14:textFill>
              </w:rPr>
              <w:t>三档（</w:t>
            </w:r>
            <w:r>
              <w:rPr>
                <w:rFonts w:hint="eastAsia" w:ascii="宋体" w:hAnsi="宋体" w:eastAsia="宋体" w:cs="宋体"/>
                <w:bCs w:val="0"/>
                <w:color w:val="000000" w:themeColor="text1"/>
                <w:sz w:val="21"/>
                <w:szCs w:val="21"/>
                <w:highlight w:val="none"/>
                <w:lang w:val="en-US" w:eastAsia="zh-CN"/>
                <w14:textFill>
                  <w14:solidFill>
                    <w14:schemeClr w14:val="tx1"/>
                  </w14:solidFill>
                </w14:textFill>
              </w:rPr>
              <w:t>6</w:t>
            </w:r>
            <w:r>
              <w:rPr>
                <w:rFonts w:hint="eastAsia" w:ascii="宋体" w:hAnsi="宋体" w:eastAsia="宋体" w:cs="宋体"/>
                <w:bCs w:val="0"/>
                <w:color w:val="000000" w:themeColor="text1"/>
                <w:sz w:val="21"/>
                <w:szCs w:val="21"/>
                <w:highlight w:val="none"/>
                <w14:textFill>
                  <w14:solidFill>
                    <w14:schemeClr w14:val="tx1"/>
                  </w14:solidFill>
                </w14:textFill>
              </w:rPr>
              <w:t>分）：不够周全，有重点、难点且作出分析，主要内容的编制思路合理，</w:t>
            </w:r>
            <w:r>
              <w:rPr>
                <w:rFonts w:hint="eastAsia" w:ascii="宋体" w:hAnsi="宋体" w:eastAsia="宋体" w:cs="宋体"/>
                <w:bCs w:val="0"/>
                <w:color w:val="000000" w:themeColor="text1"/>
                <w:sz w:val="21"/>
                <w:szCs w:val="21"/>
                <w:highlight w:val="none"/>
                <w:lang w:val="en-US" w:eastAsia="zh-CN"/>
                <w14:textFill>
                  <w14:solidFill>
                    <w14:schemeClr w14:val="tx1"/>
                  </w14:solidFill>
                </w14:textFill>
              </w:rPr>
              <w:t>方案</w:t>
            </w:r>
            <w:r>
              <w:rPr>
                <w:rFonts w:hint="eastAsia" w:ascii="宋体" w:hAnsi="宋体" w:eastAsia="宋体" w:cs="宋体"/>
                <w:bCs w:val="0"/>
                <w:color w:val="000000" w:themeColor="text1"/>
                <w:sz w:val="21"/>
                <w:szCs w:val="21"/>
                <w:highlight w:val="none"/>
                <w14:textFill>
                  <w14:solidFill>
                    <w14:schemeClr w14:val="tx1"/>
                  </w14:solidFill>
                </w14:textFill>
              </w:rPr>
              <w:t>措施部分仅满足磋商文件要求；</w:t>
            </w:r>
            <w:r>
              <w:rPr>
                <w:rFonts w:hint="eastAsia" w:ascii="宋体" w:hAnsi="宋体" w:eastAsia="宋体" w:cs="宋体"/>
                <w:color w:val="000000" w:themeColor="text1"/>
                <w:sz w:val="21"/>
                <w:szCs w:val="21"/>
                <w:highlight w:val="none"/>
                <w14:textFill>
                  <w14:solidFill>
                    <w14:schemeClr w14:val="tx1"/>
                  </w14:solidFill>
                </w14:textFill>
              </w:rPr>
              <w:t>服务承诺、服务方案、服务流程、结案理赔时效承诺</w:t>
            </w:r>
            <w:r>
              <w:rPr>
                <w:rFonts w:hint="eastAsia" w:ascii="宋体" w:hAnsi="宋体" w:eastAsia="宋体" w:cs="宋体"/>
                <w:bCs w:val="0"/>
                <w:color w:val="000000" w:themeColor="text1"/>
                <w:sz w:val="21"/>
                <w:szCs w:val="21"/>
                <w:highlight w:val="none"/>
                <w14:textFill>
                  <w14:solidFill>
                    <w14:schemeClr w14:val="tx1"/>
                  </w14:solidFill>
                </w14:textFill>
              </w:rPr>
              <w:t>内容简单，可行性弱；基本满足服务采购需求的要求；</w:t>
            </w:r>
          </w:p>
          <w:p w14:paraId="1720027D">
            <w:pPr>
              <w:widowControl/>
              <w:spacing w:line="360" w:lineRule="auto"/>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val="0"/>
                <w:color w:val="000000" w:themeColor="text1"/>
                <w:sz w:val="21"/>
                <w:szCs w:val="21"/>
                <w:highlight w:val="none"/>
                <w14:textFill>
                  <w14:solidFill>
                    <w14:schemeClr w14:val="tx1"/>
                  </w14:solidFill>
                </w14:textFill>
              </w:rPr>
              <w:t>四档（</w:t>
            </w:r>
            <w:r>
              <w:rPr>
                <w:rFonts w:hint="eastAsia" w:ascii="宋体" w:hAnsi="宋体" w:eastAsia="宋体" w:cs="宋体"/>
                <w:bCs w:val="0"/>
                <w:color w:val="000000" w:themeColor="text1"/>
                <w:sz w:val="21"/>
                <w:szCs w:val="21"/>
                <w:highlight w:val="none"/>
                <w:lang w:val="en-US" w:eastAsia="zh-CN"/>
                <w14:textFill>
                  <w14:solidFill>
                    <w14:schemeClr w14:val="tx1"/>
                  </w14:solidFill>
                </w14:textFill>
              </w:rPr>
              <w:t>0</w:t>
            </w:r>
            <w:r>
              <w:rPr>
                <w:rFonts w:hint="eastAsia" w:ascii="宋体" w:hAnsi="宋体" w:eastAsia="宋体" w:cs="宋体"/>
                <w:bCs w:val="0"/>
                <w:color w:val="000000" w:themeColor="text1"/>
                <w:sz w:val="21"/>
                <w:szCs w:val="21"/>
                <w:highlight w:val="none"/>
                <w14:textFill>
                  <w14:solidFill>
                    <w14:schemeClr w14:val="tx1"/>
                  </w14:solidFill>
                </w14:textFill>
              </w:rPr>
              <w:t>分）：未提供</w:t>
            </w:r>
            <w:r>
              <w:rPr>
                <w:rFonts w:hint="eastAsia" w:ascii="宋体" w:hAnsi="宋体" w:eastAsia="宋体" w:cs="宋体"/>
                <w:bCs/>
                <w:color w:val="000000" w:themeColor="text1"/>
                <w:sz w:val="21"/>
                <w:szCs w:val="21"/>
                <w14:textFill>
                  <w14:solidFill>
                    <w14:schemeClr w14:val="tx1"/>
                  </w14:solidFill>
                </w14:textFill>
              </w:rPr>
              <w:t>服务方案</w:t>
            </w:r>
            <w:r>
              <w:rPr>
                <w:rFonts w:hint="eastAsia" w:ascii="宋体" w:hAnsi="宋体" w:eastAsia="宋体" w:cs="宋体"/>
                <w:bCs w:val="0"/>
                <w:color w:val="000000" w:themeColor="text1"/>
                <w:sz w:val="21"/>
                <w:szCs w:val="21"/>
                <w:highlight w:val="none"/>
                <w14:textFill>
                  <w14:solidFill>
                    <w14:schemeClr w14:val="tx1"/>
                  </w14:solidFill>
                </w14:textFill>
              </w:rPr>
              <w:t>或所提供</w:t>
            </w:r>
            <w:r>
              <w:rPr>
                <w:rFonts w:hint="eastAsia" w:ascii="宋体" w:hAnsi="宋体" w:eastAsia="宋体" w:cs="宋体"/>
                <w:bCs/>
                <w:color w:val="000000" w:themeColor="text1"/>
                <w:sz w:val="21"/>
                <w:szCs w:val="21"/>
                <w14:textFill>
                  <w14:solidFill>
                    <w14:schemeClr w14:val="tx1"/>
                  </w14:solidFill>
                </w14:textFill>
              </w:rPr>
              <w:t>服务方案</w:t>
            </w:r>
            <w:r>
              <w:rPr>
                <w:rFonts w:hint="eastAsia" w:ascii="宋体" w:hAnsi="宋体" w:eastAsia="宋体" w:cs="宋体"/>
                <w:bCs w:val="0"/>
                <w:color w:val="000000" w:themeColor="text1"/>
                <w:sz w:val="21"/>
                <w:szCs w:val="21"/>
                <w:highlight w:val="none"/>
                <w14:textFill>
                  <w14:solidFill>
                    <w14:schemeClr w14:val="tx1"/>
                  </w14:solidFill>
                </w14:textFill>
              </w:rPr>
              <w:t>内容未满足磋商文件要求</w:t>
            </w:r>
            <w:r>
              <w:rPr>
                <w:rFonts w:hint="eastAsia" w:ascii="宋体" w:hAnsi="宋体" w:eastAsia="宋体" w:cs="宋体"/>
                <w:bCs w:val="0"/>
                <w:color w:val="000000" w:themeColor="text1"/>
                <w:sz w:val="21"/>
                <w:szCs w:val="21"/>
                <w:highlight w:val="none"/>
                <w:lang w:eastAsia="zh-CN"/>
                <w14:textFill>
                  <w14:solidFill>
                    <w14:schemeClr w14:val="tx1"/>
                  </w14:solidFill>
                </w14:textFill>
              </w:rPr>
              <w:t>。</w:t>
            </w:r>
          </w:p>
        </w:tc>
        <w:tc>
          <w:tcPr>
            <w:tcW w:w="845" w:type="dxa"/>
            <w:noWrap w:val="0"/>
            <w:vAlign w:val="center"/>
          </w:tcPr>
          <w:p w14:paraId="0BF801F7">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18分</w:t>
            </w:r>
          </w:p>
        </w:tc>
      </w:tr>
      <w:tr w14:paraId="228CA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1" w:type="dxa"/>
            <w:noWrap w:val="0"/>
            <w:vAlign w:val="center"/>
          </w:tcPr>
          <w:p w14:paraId="766C3304">
            <w:pPr>
              <w:adjustRightInd w:val="0"/>
              <w:spacing w:line="360" w:lineRule="auto"/>
              <w:ind w:left="-105" w:leftChars="-50" w:right="-105" w:rightChars="-50"/>
              <w:jc w:val="center"/>
              <w:textAlignment w:val="baseline"/>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2.2</w:t>
            </w:r>
          </w:p>
        </w:tc>
        <w:tc>
          <w:tcPr>
            <w:tcW w:w="2155" w:type="dxa"/>
            <w:noWrap w:val="0"/>
            <w:vAlign w:val="center"/>
          </w:tcPr>
          <w:p w14:paraId="07E66FB9">
            <w:pPr>
              <w:widowControl/>
              <w:spacing w:line="360" w:lineRule="auto"/>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管理制度分</w:t>
            </w:r>
          </w:p>
        </w:tc>
        <w:tc>
          <w:tcPr>
            <w:tcW w:w="5721" w:type="dxa"/>
            <w:noWrap w:val="0"/>
            <w:vAlign w:val="center"/>
          </w:tcPr>
          <w:p w14:paraId="79EE2D5B">
            <w:pPr>
              <w:pStyle w:val="57"/>
              <w:widowControl w:val="0"/>
              <w:wordWrap/>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包含但不限于：</w:t>
            </w:r>
            <w:r>
              <w:rPr>
                <w:rFonts w:hint="eastAsia" w:ascii="宋体" w:hAnsi="宋体" w:eastAsia="宋体" w:cs="宋体"/>
                <w:color w:val="000000" w:themeColor="text1"/>
                <w:sz w:val="21"/>
                <w:szCs w:val="21"/>
                <w:highlight w:val="none"/>
                <w:lang w:val="en-US" w:eastAsia="zh-CN"/>
                <w14:textFill>
                  <w14:solidFill>
                    <w14:schemeClr w14:val="tx1"/>
                  </w14:solidFill>
                </w14:textFill>
              </w:rPr>
              <w:t>项目</w:t>
            </w:r>
            <w:r>
              <w:rPr>
                <w:rFonts w:hint="eastAsia" w:ascii="宋体" w:hAnsi="宋体" w:eastAsia="宋体" w:cs="宋体"/>
                <w:color w:val="000000" w:themeColor="text1"/>
                <w:sz w:val="21"/>
                <w:szCs w:val="21"/>
                <w:highlight w:val="none"/>
                <w14:textFill>
                  <w14:solidFill>
                    <w14:schemeClr w14:val="tx1"/>
                  </w14:solidFill>
                </w14:textFill>
              </w:rPr>
              <w:t>人员管理和项目</w:t>
            </w:r>
            <w:r>
              <w:rPr>
                <w:rFonts w:hint="eastAsia" w:ascii="宋体" w:hAnsi="宋体" w:eastAsia="宋体" w:cs="宋体"/>
                <w:color w:val="000000" w:themeColor="text1"/>
                <w:sz w:val="21"/>
                <w:szCs w:val="21"/>
                <w:highlight w:val="none"/>
                <w:lang w:val="en-US" w:eastAsia="zh-CN"/>
                <w14:textFill>
                  <w14:solidFill>
                    <w14:schemeClr w14:val="tx1"/>
                  </w14:solidFill>
                </w14:textFill>
              </w:rPr>
              <w:t>日常</w:t>
            </w:r>
            <w:r>
              <w:rPr>
                <w:rFonts w:hint="eastAsia" w:ascii="宋体" w:hAnsi="宋体" w:eastAsia="宋体" w:cs="宋体"/>
                <w:color w:val="000000" w:themeColor="text1"/>
                <w:sz w:val="21"/>
                <w:szCs w:val="21"/>
                <w:highlight w:val="none"/>
                <w14:textFill>
                  <w14:solidFill>
                    <w14:schemeClr w14:val="tx1"/>
                  </w14:solidFill>
                </w14:textFill>
              </w:rPr>
              <w:t>管理等内容。</w:t>
            </w:r>
          </w:p>
          <w:p w14:paraId="0AB42F56">
            <w:pPr>
              <w:widowControl/>
              <w:spacing w:line="360" w:lineRule="auto"/>
              <w:ind w:firstLine="420"/>
              <w:rPr>
                <w:rFonts w:hint="eastAsia" w:ascii="宋体" w:hAnsi="宋体" w:eastAsia="宋体" w:cs="宋体"/>
                <w:bCs w:val="0"/>
                <w:color w:val="000000" w:themeColor="text1"/>
                <w:sz w:val="21"/>
                <w:szCs w:val="21"/>
                <w:highlight w:val="none"/>
                <w14:textFill>
                  <w14:solidFill>
                    <w14:schemeClr w14:val="tx1"/>
                  </w14:solidFill>
                </w14:textFill>
              </w:rPr>
            </w:pPr>
            <w:r>
              <w:rPr>
                <w:rFonts w:hint="eastAsia" w:ascii="宋体" w:hAnsi="宋体" w:eastAsia="宋体" w:cs="宋体"/>
                <w:bCs w:val="0"/>
                <w:color w:val="000000" w:themeColor="text1"/>
                <w:sz w:val="21"/>
                <w:szCs w:val="21"/>
                <w:highlight w:val="none"/>
                <w14:textFill>
                  <w14:solidFill>
                    <w14:schemeClr w14:val="tx1"/>
                  </w14:solidFill>
                </w14:textFill>
              </w:rPr>
              <w:t>一档（</w:t>
            </w:r>
            <w:r>
              <w:rPr>
                <w:rFonts w:hint="eastAsia" w:ascii="宋体" w:hAnsi="宋体" w:eastAsia="宋体" w:cs="宋体"/>
                <w:bCs w:val="0"/>
                <w:color w:val="000000" w:themeColor="text1"/>
                <w:sz w:val="21"/>
                <w:szCs w:val="21"/>
                <w:highlight w:val="none"/>
                <w:lang w:val="en-US" w:eastAsia="zh-CN"/>
                <w14:textFill>
                  <w14:solidFill>
                    <w14:schemeClr w14:val="tx1"/>
                  </w14:solidFill>
                </w14:textFill>
              </w:rPr>
              <w:t>15</w:t>
            </w:r>
            <w:r>
              <w:rPr>
                <w:rFonts w:hint="eastAsia" w:ascii="宋体" w:hAnsi="宋体" w:eastAsia="宋体" w:cs="宋体"/>
                <w:bCs w:val="0"/>
                <w:color w:val="000000" w:themeColor="text1"/>
                <w:sz w:val="21"/>
                <w:szCs w:val="21"/>
                <w:highlight w:val="none"/>
                <w14:textFill>
                  <w14:solidFill>
                    <w14:schemeClr w14:val="tx1"/>
                  </w14:solidFill>
                </w14:textFill>
              </w:rPr>
              <w:t>分）：完整周全、重点突出、编制思路明晰、难点把握准且作出深入分析，</w:t>
            </w:r>
            <w:r>
              <w:rPr>
                <w:rFonts w:hint="eastAsia" w:ascii="宋体" w:hAnsi="宋体" w:eastAsia="宋体" w:cs="宋体"/>
                <w:bCs w:val="0"/>
                <w:color w:val="000000" w:themeColor="text1"/>
                <w:sz w:val="21"/>
                <w:szCs w:val="21"/>
                <w:highlight w:val="none"/>
                <w:lang w:val="en-US" w:eastAsia="zh-CN"/>
                <w14:textFill>
                  <w14:solidFill>
                    <w14:schemeClr w14:val="tx1"/>
                  </w14:solidFill>
                </w14:textFill>
              </w:rPr>
              <w:t>制度</w:t>
            </w:r>
            <w:r>
              <w:rPr>
                <w:rFonts w:hint="eastAsia" w:ascii="宋体" w:hAnsi="宋体" w:eastAsia="宋体" w:cs="宋体"/>
                <w:bCs w:val="0"/>
                <w:color w:val="000000" w:themeColor="text1"/>
                <w:sz w:val="21"/>
                <w:szCs w:val="21"/>
                <w:highlight w:val="none"/>
                <w14:textFill>
                  <w14:solidFill>
                    <w14:schemeClr w14:val="tx1"/>
                  </w14:solidFill>
                </w14:textFill>
              </w:rPr>
              <w:t>措施利于项目实际；</w:t>
            </w:r>
            <w:r>
              <w:rPr>
                <w:rFonts w:hint="eastAsia" w:ascii="宋体" w:hAnsi="宋体" w:eastAsia="宋体" w:cs="宋体"/>
                <w:color w:val="000000" w:themeColor="text1"/>
                <w:sz w:val="21"/>
                <w:szCs w:val="21"/>
                <w:highlight w:val="none"/>
                <w:lang w:val="en-US" w:eastAsia="zh-CN"/>
                <w14:textFill>
                  <w14:solidFill>
                    <w14:schemeClr w14:val="tx1"/>
                  </w14:solidFill>
                </w14:textFill>
              </w:rPr>
              <w:t>项目</w:t>
            </w:r>
            <w:r>
              <w:rPr>
                <w:rFonts w:hint="eastAsia" w:ascii="宋体" w:hAnsi="宋体" w:eastAsia="宋体" w:cs="宋体"/>
                <w:color w:val="000000" w:themeColor="text1"/>
                <w:sz w:val="21"/>
                <w:szCs w:val="21"/>
                <w:highlight w:val="none"/>
                <w14:textFill>
                  <w14:solidFill>
                    <w14:schemeClr w14:val="tx1"/>
                  </w14:solidFill>
                </w14:textFill>
              </w:rPr>
              <w:t>人员管理和项目</w:t>
            </w:r>
            <w:r>
              <w:rPr>
                <w:rFonts w:hint="eastAsia" w:ascii="宋体" w:hAnsi="宋体" w:eastAsia="宋体" w:cs="宋体"/>
                <w:color w:val="000000" w:themeColor="text1"/>
                <w:sz w:val="21"/>
                <w:szCs w:val="21"/>
                <w:highlight w:val="none"/>
                <w:lang w:val="en-US" w:eastAsia="zh-CN"/>
                <w14:textFill>
                  <w14:solidFill>
                    <w14:schemeClr w14:val="tx1"/>
                  </w14:solidFill>
                </w14:textFill>
              </w:rPr>
              <w:t>日常</w:t>
            </w:r>
            <w:r>
              <w:rPr>
                <w:rFonts w:hint="eastAsia" w:ascii="宋体" w:hAnsi="宋体" w:eastAsia="宋体" w:cs="宋体"/>
                <w:color w:val="000000" w:themeColor="text1"/>
                <w:sz w:val="21"/>
                <w:szCs w:val="21"/>
                <w:highlight w:val="none"/>
                <w14:textFill>
                  <w14:solidFill>
                    <w14:schemeClr w14:val="tx1"/>
                  </w14:solidFill>
                </w14:textFill>
              </w:rPr>
              <w:t>管理等内容</w:t>
            </w:r>
            <w:r>
              <w:rPr>
                <w:rFonts w:hint="eastAsia" w:ascii="宋体" w:hAnsi="宋体" w:eastAsia="宋体" w:cs="宋体"/>
                <w:bCs w:val="0"/>
                <w:color w:val="000000" w:themeColor="text1"/>
                <w:sz w:val="21"/>
                <w:szCs w:val="21"/>
                <w:highlight w:val="none"/>
                <w14:textFill>
                  <w14:solidFill>
                    <w14:schemeClr w14:val="tx1"/>
                  </w14:solidFill>
                </w14:textFill>
              </w:rPr>
              <w:t>详细、科学、清晰、明确；优于服务采购需求的要求。</w:t>
            </w:r>
          </w:p>
          <w:p w14:paraId="1B137F17">
            <w:pPr>
              <w:widowControl/>
              <w:spacing w:line="360" w:lineRule="auto"/>
              <w:ind w:firstLine="420"/>
              <w:rPr>
                <w:rFonts w:hint="eastAsia" w:ascii="宋体" w:hAnsi="宋体" w:eastAsia="宋体" w:cs="宋体"/>
                <w:bCs w:val="0"/>
                <w:color w:val="000000" w:themeColor="text1"/>
                <w:sz w:val="21"/>
                <w:szCs w:val="21"/>
                <w:highlight w:val="none"/>
                <w14:textFill>
                  <w14:solidFill>
                    <w14:schemeClr w14:val="tx1"/>
                  </w14:solidFill>
                </w14:textFill>
              </w:rPr>
            </w:pPr>
            <w:r>
              <w:rPr>
                <w:rFonts w:hint="eastAsia" w:ascii="宋体" w:hAnsi="宋体" w:eastAsia="宋体" w:cs="宋体"/>
                <w:bCs w:val="0"/>
                <w:color w:val="000000" w:themeColor="text1"/>
                <w:sz w:val="21"/>
                <w:szCs w:val="21"/>
                <w:highlight w:val="none"/>
                <w14:textFill>
                  <w14:solidFill>
                    <w14:schemeClr w14:val="tx1"/>
                  </w14:solidFill>
                </w14:textFill>
              </w:rPr>
              <w:t>二档（</w:t>
            </w:r>
            <w:r>
              <w:rPr>
                <w:rFonts w:hint="eastAsia" w:ascii="宋体" w:hAnsi="宋体" w:eastAsia="宋体" w:cs="宋体"/>
                <w:bCs w:val="0"/>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bCs w:val="0"/>
                <w:color w:val="000000" w:themeColor="text1"/>
                <w:sz w:val="21"/>
                <w:szCs w:val="21"/>
                <w:highlight w:val="none"/>
                <w14:textFill>
                  <w14:solidFill>
                    <w14:schemeClr w14:val="tx1"/>
                  </w14:solidFill>
                </w14:textFill>
              </w:rPr>
              <w:t>分）：完整较周全，有重点、难点且作出简单分析，主要内容的编制思路较明晰，</w:t>
            </w:r>
            <w:r>
              <w:rPr>
                <w:rFonts w:hint="eastAsia" w:ascii="宋体" w:hAnsi="宋体" w:eastAsia="宋体" w:cs="宋体"/>
                <w:bCs w:val="0"/>
                <w:color w:val="000000" w:themeColor="text1"/>
                <w:sz w:val="21"/>
                <w:szCs w:val="21"/>
                <w:highlight w:val="none"/>
                <w:lang w:val="en-US" w:eastAsia="zh-CN"/>
                <w14:textFill>
                  <w14:solidFill>
                    <w14:schemeClr w14:val="tx1"/>
                  </w14:solidFill>
                </w14:textFill>
              </w:rPr>
              <w:t>制度</w:t>
            </w:r>
            <w:r>
              <w:rPr>
                <w:rFonts w:hint="eastAsia" w:ascii="宋体" w:hAnsi="宋体" w:eastAsia="宋体" w:cs="宋体"/>
                <w:bCs w:val="0"/>
                <w:color w:val="000000" w:themeColor="text1"/>
                <w:sz w:val="21"/>
                <w:szCs w:val="21"/>
                <w:highlight w:val="none"/>
                <w14:textFill>
                  <w14:solidFill>
                    <w14:schemeClr w14:val="tx1"/>
                  </w14:solidFill>
                </w14:textFill>
              </w:rPr>
              <w:t>措施符合项目实际；</w:t>
            </w:r>
            <w:r>
              <w:rPr>
                <w:rFonts w:hint="eastAsia" w:ascii="宋体" w:hAnsi="宋体" w:eastAsia="宋体" w:cs="宋体"/>
                <w:color w:val="000000" w:themeColor="text1"/>
                <w:sz w:val="21"/>
                <w:szCs w:val="21"/>
                <w:highlight w:val="none"/>
                <w:lang w:val="en-US" w:eastAsia="zh-CN"/>
                <w14:textFill>
                  <w14:solidFill>
                    <w14:schemeClr w14:val="tx1"/>
                  </w14:solidFill>
                </w14:textFill>
              </w:rPr>
              <w:t>项目</w:t>
            </w:r>
            <w:r>
              <w:rPr>
                <w:rFonts w:hint="eastAsia" w:ascii="宋体" w:hAnsi="宋体" w:eastAsia="宋体" w:cs="宋体"/>
                <w:color w:val="000000" w:themeColor="text1"/>
                <w:sz w:val="21"/>
                <w:szCs w:val="21"/>
                <w:highlight w:val="none"/>
                <w14:textFill>
                  <w14:solidFill>
                    <w14:schemeClr w14:val="tx1"/>
                  </w14:solidFill>
                </w14:textFill>
              </w:rPr>
              <w:t>人员管理和项目</w:t>
            </w:r>
            <w:r>
              <w:rPr>
                <w:rFonts w:hint="eastAsia" w:ascii="宋体" w:hAnsi="宋体" w:eastAsia="宋体" w:cs="宋体"/>
                <w:color w:val="000000" w:themeColor="text1"/>
                <w:sz w:val="21"/>
                <w:szCs w:val="21"/>
                <w:highlight w:val="none"/>
                <w:lang w:val="en-US" w:eastAsia="zh-CN"/>
                <w14:textFill>
                  <w14:solidFill>
                    <w14:schemeClr w14:val="tx1"/>
                  </w14:solidFill>
                </w14:textFill>
              </w:rPr>
              <w:t>日常</w:t>
            </w:r>
            <w:r>
              <w:rPr>
                <w:rFonts w:hint="eastAsia" w:ascii="宋体" w:hAnsi="宋体" w:eastAsia="宋体" w:cs="宋体"/>
                <w:color w:val="000000" w:themeColor="text1"/>
                <w:sz w:val="21"/>
                <w:szCs w:val="21"/>
                <w:highlight w:val="none"/>
                <w14:textFill>
                  <w14:solidFill>
                    <w14:schemeClr w14:val="tx1"/>
                  </w14:solidFill>
                </w14:textFill>
              </w:rPr>
              <w:t>管理</w:t>
            </w:r>
            <w:r>
              <w:rPr>
                <w:rFonts w:hint="eastAsia" w:ascii="宋体" w:hAnsi="宋体" w:cs="宋体"/>
                <w:color w:val="000000" w:themeColor="text1"/>
                <w:sz w:val="21"/>
                <w:szCs w:val="21"/>
                <w:highlight w:val="none"/>
                <w:lang w:val="en-US" w:eastAsia="zh-CN"/>
                <w14:textFill>
                  <w14:solidFill>
                    <w14:schemeClr w14:val="tx1"/>
                  </w14:solidFill>
                </w14:textFill>
              </w:rPr>
              <w:t>等</w:t>
            </w:r>
            <w:r>
              <w:rPr>
                <w:rFonts w:hint="eastAsia" w:ascii="宋体" w:hAnsi="宋体" w:eastAsia="宋体" w:cs="宋体"/>
                <w:color w:val="000000" w:themeColor="text1"/>
                <w:sz w:val="21"/>
                <w:szCs w:val="21"/>
                <w:highlight w:val="none"/>
                <w14:textFill>
                  <w14:solidFill>
                    <w14:schemeClr w14:val="tx1"/>
                  </w14:solidFill>
                </w14:textFill>
              </w:rPr>
              <w:t>内容</w:t>
            </w:r>
            <w:r>
              <w:rPr>
                <w:rFonts w:hint="eastAsia" w:ascii="宋体" w:hAnsi="宋体" w:eastAsia="宋体" w:cs="宋体"/>
                <w:bCs w:val="0"/>
                <w:color w:val="000000" w:themeColor="text1"/>
                <w:sz w:val="21"/>
                <w:szCs w:val="21"/>
                <w:highlight w:val="none"/>
                <w14:textFill>
                  <w14:solidFill>
                    <w14:schemeClr w14:val="tx1"/>
                  </w14:solidFill>
                </w14:textFill>
              </w:rPr>
              <w:t>较详细，可行性强；满足服务采购需求的要求；</w:t>
            </w:r>
          </w:p>
          <w:p w14:paraId="320EFBCE">
            <w:pPr>
              <w:widowControl/>
              <w:spacing w:line="360" w:lineRule="auto"/>
              <w:ind w:firstLine="420"/>
              <w:rPr>
                <w:rFonts w:hint="eastAsia" w:ascii="宋体" w:hAnsi="宋体" w:eastAsia="宋体" w:cs="宋体"/>
                <w:bCs w:val="0"/>
                <w:color w:val="000000" w:themeColor="text1"/>
                <w:sz w:val="21"/>
                <w:szCs w:val="21"/>
                <w:highlight w:val="none"/>
                <w14:textFill>
                  <w14:solidFill>
                    <w14:schemeClr w14:val="tx1"/>
                  </w14:solidFill>
                </w14:textFill>
              </w:rPr>
            </w:pPr>
            <w:r>
              <w:rPr>
                <w:rFonts w:hint="eastAsia" w:ascii="宋体" w:hAnsi="宋体" w:eastAsia="宋体" w:cs="宋体"/>
                <w:bCs w:val="0"/>
                <w:color w:val="000000" w:themeColor="text1"/>
                <w:sz w:val="21"/>
                <w:szCs w:val="21"/>
                <w:highlight w:val="none"/>
                <w14:textFill>
                  <w14:solidFill>
                    <w14:schemeClr w14:val="tx1"/>
                  </w14:solidFill>
                </w14:textFill>
              </w:rPr>
              <w:t>三档（</w:t>
            </w:r>
            <w:r>
              <w:rPr>
                <w:rFonts w:hint="eastAsia" w:ascii="宋体" w:hAnsi="宋体" w:eastAsia="宋体" w:cs="宋体"/>
                <w:bCs w:val="0"/>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Cs w:val="0"/>
                <w:color w:val="000000" w:themeColor="text1"/>
                <w:sz w:val="21"/>
                <w:szCs w:val="21"/>
                <w:highlight w:val="none"/>
                <w14:textFill>
                  <w14:solidFill>
                    <w14:schemeClr w14:val="tx1"/>
                  </w14:solidFill>
                </w14:textFill>
              </w:rPr>
              <w:t>分）：不够周全，有重点、难点且作出分析，主要内容的编制思路合理，</w:t>
            </w:r>
            <w:r>
              <w:rPr>
                <w:rFonts w:hint="eastAsia" w:ascii="宋体" w:hAnsi="宋体" w:eastAsia="宋体" w:cs="宋体"/>
                <w:bCs w:val="0"/>
                <w:color w:val="000000" w:themeColor="text1"/>
                <w:sz w:val="21"/>
                <w:szCs w:val="21"/>
                <w:highlight w:val="none"/>
                <w:lang w:val="en-US" w:eastAsia="zh-CN"/>
                <w14:textFill>
                  <w14:solidFill>
                    <w14:schemeClr w14:val="tx1"/>
                  </w14:solidFill>
                </w14:textFill>
              </w:rPr>
              <w:t>制度</w:t>
            </w:r>
            <w:r>
              <w:rPr>
                <w:rFonts w:hint="eastAsia" w:ascii="宋体" w:hAnsi="宋体" w:eastAsia="宋体" w:cs="宋体"/>
                <w:bCs w:val="0"/>
                <w:color w:val="000000" w:themeColor="text1"/>
                <w:sz w:val="21"/>
                <w:szCs w:val="21"/>
                <w:highlight w:val="none"/>
                <w14:textFill>
                  <w14:solidFill>
                    <w14:schemeClr w14:val="tx1"/>
                  </w14:solidFill>
                </w14:textFill>
              </w:rPr>
              <w:t>措施部分仅满足磋商文件要求；</w:t>
            </w:r>
            <w:r>
              <w:rPr>
                <w:rFonts w:hint="eastAsia" w:ascii="宋体" w:hAnsi="宋体" w:eastAsia="宋体" w:cs="宋体"/>
                <w:color w:val="000000" w:themeColor="text1"/>
                <w:sz w:val="21"/>
                <w:szCs w:val="21"/>
                <w:highlight w:val="none"/>
                <w:lang w:val="en-US" w:eastAsia="zh-CN"/>
                <w14:textFill>
                  <w14:solidFill>
                    <w14:schemeClr w14:val="tx1"/>
                  </w14:solidFill>
                </w14:textFill>
              </w:rPr>
              <w:t>项目</w:t>
            </w:r>
            <w:r>
              <w:rPr>
                <w:rFonts w:hint="eastAsia" w:ascii="宋体" w:hAnsi="宋体" w:eastAsia="宋体" w:cs="宋体"/>
                <w:color w:val="000000" w:themeColor="text1"/>
                <w:sz w:val="21"/>
                <w:szCs w:val="21"/>
                <w:highlight w:val="none"/>
                <w14:textFill>
                  <w14:solidFill>
                    <w14:schemeClr w14:val="tx1"/>
                  </w14:solidFill>
                </w14:textFill>
              </w:rPr>
              <w:t>人员管理和项目</w:t>
            </w:r>
            <w:r>
              <w:rPr>
                <w:rFonts w:hint="eastAsia" w:ascii="宋体" w:hAnsi="宋体" w:eastAsia="宋体" w:cs="宋体"/>
                <w:color w:val="000000" w:themeColor="text1"/>
                <w:sz w:val="21"/>
                <w:szCs w:val="21"/>
                <w:highlight w:val="none"/>
                <w:lang w:val="en-US" w:eastAsia="zh-CN"/>
                <w14:textFill>
                  <w14:solidFill>
                    <w14:schemeClr w14:val="tx1"/>
                  </w14:solidFill>
                </w14:textFill>
              </w:rPr>
              <w:t>日常</w:t>
            </w:r>
            <w:r>
              <w:rPr>
                <w:rFonts w:hint="eastAsia" w:ascii="宋体" w:hAnsi="宋体" w:eastAsia="宋体" w:cs="宋体"/>
                <w:color w:val="000000" w:themeColor="text1"/>
                <w:sz w:val="21"/>
                <w:szCs w:val="21"/>
                <w:highlight w:val="none"/>
                <w14:textFill>
                  <w14:solidFill>
                    <w14:schemeClr w14:val="tx1"/>
                  </w14:solidFill>
                </w14:textFill>
              </w:rPr>
              <w:t>管理等内容</w:t>
            </w:r>
            <w:r>
              <w:rPr>
                <w:rFonts w:hint="eastAsia" w:ascii="宋体" w:hAnsi="宋体" w:eastAsia="宋体" w:cs="宋体"/>
                <w:bCs w:val="0"/>
                <w:color w:val="000000" w:themeColor="text1"/>
                <w:sz w:val="21"/>
                <w:szCs w:val="21"/>
                <w:highlight w:val="none"/>
                <w14:textFill>
                  <w14:solidFill>
                    <w14:schemeClr w14:val="tx1"/>
                  </w14:solidFill>
                </w14:textFill>
              </w:rPr>
              <w:t>简单，可行性弱；基本满足服务采购需求的要求；</w:t>
            </w:r>
          </w:p>
          <w:p w14:paraId="320F1F38">
            <w:pPr>
              <w:pStyle w:val="57"/>
              <w:widowControl w:val="0"/>
              <w:wordWrap/>
              <w:spacing w:line="44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val="0"/>
                <w:color w:val="000000" w:themeColor="text1"/>
                <w:sz w:val="21"/>
                <w:szCs w:val="21"/>
                <w:highlight w:val="none"/>
                <w14:textFill>
                  <w14:solidFill>
                    <w14:schemeClr w14:val="tx1"/>
                  </w14:solidFill>
                </w14:textFill>
              </w:rPr>
              <w:t>四档（</w:t>
            </w:r>
            <w:r>
              <w:rPr>
                <w:rFonts w:hint="eastAsia" w:ascii="宋体" w:hAnsi="宋体" w:eastAsia="宋体" w:cs="宋体"/>
                <w:bCs w:val="0"/>
                <w:color w:val="000000" w:themeColor="text1"/>
                <w:sz w:val="21"/>
                <w:szCs w:val="21"/>
                <w:highlight w:val="none"/>
                <w:lang w:val="en-US" w:eastAsia="zh-CN"/>
                <w14:textFill>
                  <w14:solidFill>
                    <w14:schemeClr w14:val="tx1"/>
                  </w14:solidFill>
                </w14:textFill>
              </w:rPr>
              <w:t>0</w:t>
            </w:r>
            <w:r>
              <w:rPr>
                <w:rFonts w:hint="eastAsia" w:ascii="宋体" w:hAnsi="宋体" w:eastAsia="宋体" w:cs="宋体"/>
                <w:bCs w:val="0"/>
                <w:color w:val="000000" w:themeColor="text1"/>
                <w:sz w:val="21"/>
                <w:szCs w:val="21"/>
                <w:highlight w:val="none"/>
                <w14:textFill>
                  <w14:solidFill>
                    <w14:schemeClr w14:val="tx1"/>
                  </w14:solidFill>
                </w14:textFill>
              </w:rPr>
              <w:t>分）：未提供</w:t>
            </w:r>
            <w:r>
              <w:rPr>
                <w:rFonts w:hint="eastAsia" w:ascii="宋体" w:hAnsi="宋体" w:eastAsia="宋体" w:cs="宋体"/>
                <w:bCs w:val="0"/>
                <w:color w:val="000000" w:themeColor="text1"/>
                <w:sz w:val="21"/>
                <w:szCs w:val="21"/>
                <w:highlight w:val="none"/>
                <w:lang w:val="en-US" w:eastAsia="zh-CN"/>
                <w14:textFill>
                  <w14:solidFill>
                    <w14:schemeClr w14:val="tx1"/>
                  </w14:solidFill>
                </w14:textFill>
              </w:rPr>
              <w:t>管理制度</w:t>
            </w:r>
            <w:r>
              <w:rPr>
                <w:rFonts w:hint="eastAsia" w:ascii="宋体" w:hAnsi="宋体" w:eastAsia="宋体" w:cs="宋体"/>
                <w:bCs w:val="0"/>
                <w:color w:val="000000" w:themeColor="text1"/>
                <w:sz w:val="21"/>
                <w:szCs w:val="21"/>
                <w:highlight w:val="none"/>
                <w14:textFill>
                  <w14:solidFill>
                    <w14:schemeClr w14:val="tx1"/>
                  </w14:solidFill>
                </w14:textFill>
              </w:rPr>
              <w:t>或所提供</w:t>
            </w:r>
            <w:r>
              <w:rPr>
                <w:rFonts w:hint="eastAsia" w:ascii="宋体" w:hAnsi="宋体" w:eastAsia="宋体" w:cs="宋体"/>
                <w:bCs w:val="0"/>
                <w:color w:val="000000" w:themeColor="text1"/>
                <w:sz w:val="21"/>
                <w:szCs w:val="21"/>
                <w:highlight w:val="none"/>
                <w:lang w:val="en-US" w:eastAsia="zh-CN"/>
                <w14:textFill>
                  <w14:solidFill>
                    <w14:schemeClr w14:val="tx1"/>
                  </w14:solidFill>
                </w14:textFill>
              </w:rPr>
              <w:t>管理制度</w:t>
            </w:r>
            <w:r>
              <w:rPr>
                <w:rFonts w:hint="eastAsia" w:ascii="宋体" w:hAnsi="宋体" w:eastAsia="宋体" w:cs="宋体"/>
                <w:bCs w:val="0"/>
                <w:color w:val="000000" w:themeColor="text1"/>
                <w:sz w:val="21"/>
                <w:szCs w:val="21"/>
                <w:highlight w:val="none"/>
                <w14:textFill>
                  <w14:solidFill>
                    <w14:schemeClr w14:val="tx1"/>
                  </w14:solidFill>
                </w14:textFill>
              </w:rPr>
              <w:t>内容未满足磋商文件要求</w:t>
            </w:r>
            <w:r>
              <w:rPr>
                <w:rFonts w:hint="eastAsia" w:ascii="宋体" w:hAnsi="宋体" w:eastAsia="宋体" w:cs="宋体"/>
                <w:bCs w:val="0"/>
                <w:color w:val="000000" w:themeColor="text1"/>
                <w:sz w:val="21"/>
                <w:szCs w:val="21"/>
                <w:highlight w:val="none"/>
                <w:lang w:eastAsia="zh-CN"/>
                <w14:textFill>
                  <w14:solidFill>
                    <w14:schemeClr w14:val="tx1"/>
                  </w14:solidFill>
                </w14:textFill>
              </w:rPr>
              <w:t>。</w:t>
            </w:r>
          </w:p>
        </w:tc>
        <w:tc>
          <w:tcPr>
            <w:tcW w:w="845" w:type="dxa"/>
            <w:noWrap w:val="0"/>
            <w:vAlign w:val="center"/>
          </w:tcPr>
          <w:p w14:paraId="1A2839A9">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15分</w:t>
            </w:r>
          </w:p>
        </w:tc>
      </w:tr>
      <w:tr w14:paraId="2BEBA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1" w:type="dxa"/>
            <w:noWrap w:val="0"/>
            <w:vAlign w:val="center"/>
          </w:tcPr>
          <w:p w14:paraId="5337128F">
            <w:pPr>
              <w:adjustRightInd w:val="0"/>
              <w:spacing w:line="360" w:lineRule="auto"/>
              <w:ind w:left="-105" w:leftChars="-50" w:right="-105" w:rightChars="-50"/>
              <w:jc w:val="center"/>
              <w:textAlignment w:val="baseline"/>
              <w:rPr>
                <w:rFonts w:hint="eastAsia" w:ascii="宋体" w:hAnsi="宋体" w:eastAsia="宋体" w:cs="宋体"/>
                <w:bCs/>
                <w:color w:val="000000" w:themeColor="text1"/>
                <w:kern w:val="0"/>
                <w:sz w:val="21"/>
                <w:szCs w:val="21"/>
                <w:lang w:eastAsia="zh-CN"/>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2.</w:t>
            </w:r>
            <w:r>
              <w:rPr>
                <w:rFonts w:hint="eastAsia" w:ascii="宋体" w:hAnsi="宋体" w:cs="宋体"/>
                <w:bCs/>
                <w:color w:val="000000" w:themeColor="text1"/>
                <w:kern w:val="0"/>
                <w:sz w:val="21"/>
                <w:szCs w:val="21"/>
                <w:lang w:val="en-US" w:eastAsia="zh-CN"/>
                <w14:textFill>
                  <w14:solidFill>
                    <w14:schemeClr w14:val="tx1"/>
                  </w14:solidFill>
                </w14:textFill>
              </w:rPr>
              <w:t>3</w:t>
            </w:r>
          </w:p>
        </w:tc>
        <w:tc>
          <w:tcPr>
            <w:tcW w:w="2155" w:type="dxa"/>
            <w:noWrap w:val="0"/>
            <w:vAlign w:val="center"/>
          </w:tcPr>
          <w:p w14:paraId="5E8BB070">
            <w:pPr>
              <w:adjustRightInd w:val="0"/>
              <w:spacing w:line="360" w:lineRule="auto"/>
              <w:jc w:val="center"/>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增值服务方案分</w:t>
            </w:r>
          </w:p>
        </w:tc>
        <w:tc>
          <w:tcPr>
            <w:tcW w:w="5721" w:type="dxa"/>
            <w:noWrap w:val="0"/>
            <w:vAlign w:val="center"/>
          </w:tcPr>
          <w:p w14:paraId="2F460CF5">
            <w:pPr>
              <w:pStyle w:val="57"/>
              <w:widowControl w:val="0"/>
              <w:wordWrap/>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包含但不限于：</w:t>
            </w:r>
            <w:r>
              <w:rPr>
                <w:rFonts w:hint="eastAsia" w:ascii="宋体" w:hAnsi="宋体" w:eastAsia="宋体" w:cs="宋体"/>
                <w:color w:val="000000" w:themeColor="text1"/>
                <w:sz w:val="21"/>
                <w:szCs w:val="21"/>
                <w:highlight w:val="none"/>
                <w:lang w:val="en-US" w:eastAsia="zh-CN"/>
                <w14:textFill>
                  <w14:solidFill>
                    <w14:schemeClr w14:val="tx1"/>
                  </w14:solidFill>
                </w14:textFill>
              </w:rPr>
              <w:t>风险事故预防服务</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保险培训</w:t>
            </w:r>
            <w:r>
              <w:rPr>
                <w:rFonts w:hint="eastAsia" w:ascii="宋体" w:hAnsi="宋体" w:eastAsia="宋体" w:cs="宋体"/>
                <w:color w:val="000000" w:themeColor="text1"/>
                <w:sz w:val="21"/>
                <w:szCs w:val="21"/>
                <w:highlight w:val="none"/>
                <w14:textFill>
                  <w14:solidFill>
                    <w14:schemeClr w14:val="tx1"/>
                  </w14:solidFill>
                </w14:textFill>
              </w:rPr>
              <w:t>等内容。</w:t>
            </w:r>
          </w:p>
          <w:p w14:paraId="3DF3A4A7">
            <w:pPr>
              <w:widowControl/>
              <w:spacing w:line="360" w:lineRule="auto"/>
              <w:ind w:firstLine="420"/>
              <w:rPr>
                <w:rFonts w:hint="eastAsia" w:ascii="宋体" w:hAnsi="宋体" w:eastAsia="宋体" w:cs="宋体"/>
                <w:bCs w:val="0"/>
                <w:color w:val="000000" w:themeColor="text1"/>
                <w:sz w:val="21"/>
                <w:szCs w:val="21"/>
                <w:highlight w:val="none"/>
                <w14:textFill>
                  <w14:solidFill>
                    <w14:schemeClr w14:val="tx1"/>
                  </w14:solidFill>
                </w14:textFill>
              </w:rPr>
            </w:pPr>
            <w:r>
              <w:rPr>
                <w:rFonts w:hint="eastAsia" w:ascii="宋体" w:hAnsi="宋体" w:eastAsia="宋体" w:cs="宋体"/>
                <w:bCs w:val="0"/>
                <w:color w:val="000000" w:themeColor="text1"/>
                <w:sz w:val="21"/>
                <w:szCs w:val="21"/>
                <w:highlight w:val="none"/>
                <w14:textFill>
                  <w14:solidFill>
                    <w14:schemeClr w14:val="tx1"/>
                  </w14:solidFill>
                </w14:textFill>
              </w:rPr>
              <w:t>一档（</w:t>
            </w:r>
            <w:r>
              <w:rPr>
                <w:rFonts w:hint="eastAsia" w:ascii="宋体" w:hAnsi="宋体" w:eastAsia="宋体" w:cs="宋体"/>
                <w:bCs w:val="0"/>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bCs w:val="0"/>
                <w:color w:val="000000" w:themeColor="text1"/>
                <w:sz w:val="21"/>
                <w:szCs w:val="21"/>
                <w:highlight w:val="none"/>
                <w14:textFill>
                  <w14:solidFill>
                    <w14:schemeClr w14:val="tx1"/>
                  </w14:solidFill>
                </w14:textFill>
              </w:rPr>
              <w:t>分）：完整周全、重点突出、编制思路明晰、难点把握准且作出深入分析，</w:t>
            </w:r>
            <w:r>
              <w:rPr>
                <w:rFonts w:hint="eastAsia" w:ascii="宋体" w:hAnsi="宋体" w:eastAsia="宋体" w:cs="宋体"/>
                <w:color w:val="000000" w:themeColor="text1"/>
                <w:sz w:val="21"/>
                <w:szCs w:val="21"/>
                <w:highlight w:val="none"/>
                <w:lang w:val="en-US" w:eastAsia="zh-CN"/>
                <w14:textFill>
                  <w14:solidFill>
                    <w14:schemeClr w14:val="tx1"/>
                  </w14:solidFill>
                </w14:textFill>
              </w:rPr>
              <w:t>增值服务措施</w:t>
            </w:r>
            <w:r>
              <w:rPr>
                <w:rFonts w:hint="eastAsia" w:ascii="宋体" w:hAnsi="宋体" w:eastAsia="宋体" w:cs="宋体"/>
                <w:bCs w:val="0"/>
                <w:color w:val="000000" w:themeColor="text1"/>
                <w:sz w:val="21"/>
                <w:szCs w:val="21"/>
                <w:highlight w:val="none"/>
                <w14:textFill>
                  <w14:solidFill>
                    <w14:schemeClr w14:val="tx1"/>
                  </w14:solidFill>
                </w14:textFill>
              </w:rPr>
              <w:t>利于项目实际；</w:t>
            </w:r>
            <w:r>
              <w:rPr>
                <w:rFonts w:hint="eastAsia" w:ascii="宋体" w:hAnsi="宋体" w:eastAsia="宋体" w:cs="宋体"/>
                <w:color w:val="000000" w:themeColor="text1"/>
                <w:sz w:val="21"/>
                <w:szCs w:val="21"/>
                <w:highlight w:val="none"/>
                <w:lang w:val="en-US" w:eastAsia="zh-CN"/>
                <w14:textFill>
                  <w14:solidFill>
                    <w14:schemeClr w14:val="tx1"/>
                  </w14:solidFill>
                </w14:textFill>
              </w:rPr>
              <w:t>风险事故预防服务</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保险培训</w:t>
            </w:r>
            <w:r>
              <w:rPr>
                <w:rFonts w:hint="eastAsia" w:ascii="宋体" w:hAnsi="宋体" w:eastAsia="宋体" w:cs="宋体"/>
                <w:color w:val="000000" w:themeColor="text1"/>
                <w:sz w:val="21"/>
                <w:szCs w:val="21"/>
                <w:highlight w:val="none"/>
                <w14:textFill>
                  <w14:solidFill>
                    <w14:schemeClr w14:val="tx1"/>
                  </w14:solidFill>
                </w14:textFill>
              </w:rPr>
              <w:t>等内容</w:t>
            </w:r>
            <w:r>
              <w:rPr>
                <w:rFonts w:hint="eastAsia" w:ascii="宋体" w:hAnsi="宋体" w:eastAsia="宋体" w:cs="宋体"/>
                <w:bCs w:val="0"/>
                <w:color w:val="000000" w:themeColor="text1"/>
                <w:sz w:val="21"/>
                <w:szCs w:val="21"/>
                <w:highlight w:val="none"/>
                <w14:textFill>
                  <w14:solidFill>
                    <w14:schemeClr w14:val="tx1"/>
                  </w14:solidFill>
                </w14:textFill>
              </w:rPr>
              <w:t>详细、科学、清晰、明确；优于服务采购需求的要求。</w:t>
            </w:r>
          </w:p>
          <w:p w14:paraId="0582D354">
            <w:pPr>
              <w:widowControl/>
              <w:spacing w:line="360" w:lineRule="auto"/>
              <w:ind w:firstLine="420"/>
              <w:rPr>
                <w:rFonts w:hint="eastAsia" w:ascii="宋体" w:hAnsi="宋体" w:eastAsia="宋体" w:cs="宋体"/>
                <w:bCs w:val="0"/>
                <w:color w:val="000000" w:themeColor="text1"/>
                <w:sz w:val="21"/>
                <w:szCs w:val="21"/>
                <w:highlight w:val="none"/>
                <w14:textFill>
                  <w14:solidFill>
                    <w14:schemeClr w14:val="tx1"/>
                  </w14:solidFill>
                </w14:textFill>
              </w:rPr>
            </w:pPr>
            <w:r>
              <w:rPr>
                <w:rFonts w:hint="eastAsia" w:ascii="宋体" w:hAnsi="宋体" w:eastAsia="宋体" w:cs="宋体"/>
                <w:bCs w:val="0"/>
                <w:color w:val="000000" w:themeColor="text1"/>
                <w:sz w:val="21"/>
                <w:szCs w:val="21"/>
                <w:highlight w:val="none"/>
                <w14:textFill>
                  <w14:solidFill>
                    <w14:schemeClr w14:val="tx1"/>
                  </w14:solidFill>
                </w14:textFill>
              </w:rPr>
              <w:t>二档（</w:t>
            </w:r>
            <w:r>
              <w:rPr>
                <w:rFonts w:hint="eastAsia" w:ascii="宋体" w:hAnsi="宋体" w:eastAsia="宋体" w:cs="宋体"/>
                <w:bCs w:val="0"/>
                <w:color w:val="000000" w:themeColor="text1"/>
                <w:sz w:val="21"/>
                <w:szCs w:val="21"/>
                <w:highlight w:val="none"/>
                <w:lang w:val="en-US" w:eastAsia="zh-CN"/>
                <w14:textFill>
                  <w14:solidFill>
                    <w14:schemeClr w14:val="tx1"/>
                  </w14:solidFill>
                </w14:textFill>
              </w:rPr>
              <w:t>6</w:t>
            </w:r>
            <w:r>
              <w:rPr>
                <w:rFonts w:hint="eastAsia" w:ascii="宋体" w:hAnsi="宋体" w:eastAsia="宋体" w:cs="宋体"/>
                <w:bCs w:val="0"/>
                <w:color w:val="000000" w:themeColor="text1"/>
                <w:sz w:val="21"/>
                <w:szCs w:val="21"/>
                <w:highlight w:val="none"/>
                <w14:textFill>
                  <w14:solidFill>
                    <w14:schemeClr w14:val="tx1"/>
                  </w14:solidFill>
                </w14:textFill>
              </w:rPr>
              <w:t>分）：完整较周全，有重点、难点且作出简单分析，主要内容的编制思路较明晰，</w:t>
            </w:r>
            <w:r>
              <w:rPr>
                <w:rFonts w:hint="eastAsia" w:ascii="宋体" w:hAnsi="宋体" w:eastAsia="宋体" w:cs="宋体"/>
                <w:color w:val="000000" w:themeColor="text1"/>
                <w:sz w:val="21"/>
                <w:szCs w:val="21"/>
                <w:highlight w:val="none"/>
                <w:lang w:val="en-US" w:eastAsia="zh-CN"/>
                <w14:textFill>
                  <w14:solidFill>
                    <w14:schemeClr w14:val="tx1"/>
                  </w14:solidFill>
                </w14:textFill>
              </w:rPr>
              <w:t>增值服务</w:t>
            </w:r>
            <w:r>
              <w:rPr>
                <w:rFonts w:hint="eastAsia" w:ascii="宋体" w:hAnsi="宋体" w:eastAsia="宋体" w:cs="宋体"/>
                <w:bCs w:val="0"/>
                <w:color w:val="000000" w:themeColor="text1"/>
                <w:sz w:val="21"/>
                <w:szCs w:val="21"/>
                <w:highlight w:val="none"/>
                <w14:textFill>
                  <w14:solidFill>
                    <w14:schemeClr w14:val="tx1"/>
                  </w14:solidFill>
                </w14:textFill>
              </w:rPr>
              <w:t>措施符合项目实际；</w:t>
            </w:r>
            <w:r>
              <w:rPr>
                <w:rFonts w:hint="eastAsia" w:ascii="宋体" w:hAnsi="宋体" w:eastAsia="宋体" w:cs="宋体"/>
                <w:color w:val="000000" w:themeColor="text1"/>
                <w:sz w:val="21"/>
                <w:szCs w:val="21"/>
                <w:highlight w:val="none"/>
                <w:lang w:val="en-US" w:eastAsia="zh-CN"/>
                <w14:textFill>
                  <w14:solidFill>
                    <w14:schemeClr w14:val="tx1"/>
                  </w14:solidFill>
                </w14:textFill>
              </w:rPr>
              <w:t>风险事故预防服务</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保险培训</w:t>
            </w:r>
            <w:r>
              <w:rPr>
                <w:rFonts w:hint="eastAsia" w:ascii="宋体" w:hAnsi="宋体" w:eastAsia="宋体" w:cs="宋体"/>
                <w:color w:val="000000" w:themeColor="text1"/>
                <w:sz w:val="21"/>
                <w:szCs w:val="21"/>
                <w:highlight w:val="none"/>
                <w14:textFill>
                  <w14:solidFill>
                    <w14:schemeClr w14:val="tx1"/>
                  </w14:solidFill>
                </w14:textFill>
              </w:rPr>
              <w:t>等内容</w:t>
            </w:r>
            <w:r>
              <w:rPr>
                <w:rFonts w:hint="eastAsia" w:ascii="宋体" w:hAnsi="宋体" w:eastAsia="宋体" w:cs="宋体"/>
                <w:bCs w:val="0"/>
                <w:color w:val="000000" w:themeColor="text1"/>
                <w:sz w:val="21"/>
                <w:szCs w:val="21"/>
                <w:highlight w:val="none"/>
                <w14:textFill>
                  <w14:solidFill>
                    <w14:schemeClr w14:val="tx1"/>
                  </w14:solidFill>
                </w14:textFill>
              </w:rPr>
              <w:t>较详细，可行性强；满足服务采购需求的要求；</w:t>
            </w:r>
          </w:p>
          <w:p w14:paraId="169C960E">
            <w:pPr>
              <w:widowControl/>
              <w:spacing w:line="360" w:lineRule="auto"/>
              <w:ind w:firstLine="420"/>
              <w:rPr>
                <w:rFonts w:hint="eastAsia" w:ascii="宋体" w:hAnsi="宋体" w:eastAsia="宋体" w:cs="宋体"/>
                <w:bCs w:val="0"/>
                <w:color w:val="000000" w:themeColor="text1"/>
                <w:sz w:val="21"/>
                <w:szCs w:val="21"/>
                <w:highlight w:val="none"/>
                <w14:textFill>
                  <w14:solidFill>
                    <w14:schemeClr w14:val="tx1"/>
                  </w14:solidFill>
                </w14:textFill>
              </w:rPr>
            </w:pPr>
            <w:r>
              <w:rPr>
                <w:rFonts w:hint="eastAsia" w:ascii="宋体" w:hAnsi="宋体" w:eastAsia="宋体" w:cs="宋体"/>
                <w:bCs w:val="0"/>
                <w:color w:val="000000" w:themeColor="text1"/>
                <w:sz w:val="21"/>
                <w:szCs w:val="21"/>
                <w:highlight w:val="none"/>
                <w14:textFill>
                  <w14:solidFill>
                    <w14:schemeClr w14:val="tx1"/>
                  </w14:solidFill>
                </w14:textFill>
              </w:rPr>
              <w:t>三档（</w:t>
            </w:r>
            <w:r>
              <w:rPr>
                <w:rFonts w:hint="eastAsia" w:ascii="宋体" w:hAnsi="宋体" w:eastAsia="宋体" w:cs="宋体"/>
                <w:bCs w:val="0"/>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Cs w:val="0"/>
                <w:color w:val="000000" w:themeColor="text1"/>
                <w:sz w:val="21"/>
                <w:szCs w:val="21"/>
                <w:highlight w:val="none"/>
                <w14:textFill>
                  <w14:solidFill>
                    <w14:schemeClr w14:val="tx1"/>
                  </w14:solidFill>
                </w14:textFill>
              </w:rPr>
              <w:t>分）：不够周全，有重点、难点且作出分析，主要内容的编制思路合理，</w:t>
            </w:r>
            <w:r>
              <w:rPr>
                <w:rFonts w:hint="eastAsia" w:ascii="宋体" w:hAnsi="宋体" w:eastAsia="宋体" w:cs="宋体"/>
                <w:color w:val="000000" w:themeColor="text1"/>
                <w:sz w:val="21"/>
                <w:szCs w:val="21"/>
                <w:highlight w:val="none"/>
                <w:lang w:val="en-US" w:eastAsia="zh-CN"/>
                <w14:textFill>
                  <w14:solidFill>
                    <w14:schemeClr w14:val="tx1"/>
                  </w14:solidFill>
                </w14:textFill>
              </w:rPr>
              <w:t>风险事故预防服务</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保险培训</w:t>
            </w:r>
            <w:r>
              <w:rPr>
                <w:rFonts w:hint="eastAsia" w:ascii="宋体" w:hAnsi="宋体" w:eastAsia="宋体" w:cs="宋体"/>
                <w:bCs w:val="0"/>
                <w:color w:val="000000" w:themeColor="text1"/>
                <w:sz w:val="21"/>
                <w:szCs w:val="21"/>
                <w:highlight w:val="none"/>
                <w14:textFill>
                  <w14:solidFill>
                    <w14:schemeClr w14:val="tx1"/>
                  </w14:solidFill>
                </w14:textFill>
              </w:rPr>
              <w:t>部分仅满足磋商文件要求；</w:t>
            </w:r>
            <w:r>
              <w:rPr>
                <w:rFonts w:hint="eastAsia" w:ascii="宋体" w:hAnsi="宋体" w:eastAsia="宋体" w:cs="宋体"/>
                <w:color w:val="000000" w:themeColor="text1"/>
                <w:sz w:val="21"/>
                <w:szCs w:val="21"/>
                <w:highlight w:val="none"/>
                <w14:textFill>
                  <w14:solidFill>
                    <w14:schemeClr w14:val="tx1"/>
                  </w14:solidFill>
                </w14:textFill>
              </w:rPr>
              <w:t>理赔时效、争议处理等内容</w:t>
            </w:r>
            <w:r>
              <w:rPr>
                <w:rFonts w:hint="eastAsia" w:ascii="宋体" w:hAnsi="宋体" w:eastAsia="宋体" w:cs="宋体"/>
                <w:bCs w:val="0"/>
                <w:color w:val="000000" w:themeColor="text1"/>
                <w:sz w:val="21"/>
                <w:szCs w:val="21"/>
                <w:highlight w:val="none"/>
                <w14:textFill>
                  <w14:solidFill>
                    <w14:schemeClr w14:val="tx1"/>
                  </w14:solidFill>
                </w14:textFill>
              </w:rPr>
              <w:t>简单，可行性弱；基本满足服务采购需求的要求；</w:t>
            </w:r>
          </w:p>
          <w:p w14:paraId="68A11A32">
            <w:pPr>
              <w:pStyle w:val="57"/>
              <w:widowControl w:val="0"/>
              <w:wordWrap/>
              <w:spacing w:line="44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val="0"/>
                <w:color w:val="000000" w:themeColor="text1"/>
                <w:sz w:val="21"/>
                <w:szCs w:val="21"/>
                <w:highlight w:val="none"/>
                <w14:textFill>
                  <w14:solidFill>
                    <w14:schemeClr w14:val="tx1"/>
                  </w14:solidFill>
                </w14:textFill>
              </w:rPr>
              <w:t>四档（</w:t>
            </w:r>
            <w:r>
              <w:rPr>
                <w:rFonts w:hint="eastAsia" w:ascii="宋体" w:hAnsi="宋体" w:eastAsia="宋体" w:cs="宋体"/>
                <w:bCs w:val="0"/>
                <w:color w:val="000000" w:themeColor="text1"/>
                <w:sz w:val="21"/>
                <w:szCs w:val="21"/>
                <w:highlight w:val="none"/>
                <w:lang w:val="en-US" w:eastAsia="zh-CN"/>
                <w14:textFill>
                  <w14:solidFill>
                    <w14:schemeClr w14:val="tx1"/>
                  </w14:solidFill>
                </w14:textFill>
              </w:rPr>
              <w:t>0</w:t>
            </w:r>
            <w:r>
              <w:rPr>
                <w:rFonts w:hint="eastAsia" w:ascii="宋体" w:hAnsi="宋体" w:eastAsia="宋体" w:cs="宋体"/>
                <w:bCs w:val="0"/>
                <w:color w:val="000000" w:themeColor="text1"/>
                <w:sz w:val="21"/>
                <w:szCs w:val="21"/>
                <w:highlight w:val="none"/>
                <w14:textFill>
                  <w14:solidFill>
                    <w14:schemeClr w14:val="tx1"/>
                  </w14:solidFill>
                </w14:textFill>
              </w:rPr>
              <w:t>分）：未提供</w:t>
            </w:r>
            <w:r>
              <w:rPr>
                <w:rFonts w:hint="eastAsia" w:ascii="宋体" w:hAnsi="宋体" w:eastAsia="宋体" w:cs="宋体"/>
                <w:color w:val="000000" w:themeColor="text1"/>
                <w:sz w:val="21"/>
                <w:szCs w:val="21"/>
                <w:highlight w:val="none"/>
                <w:lang w:val="en-US" w:eastAsia="zh-CN"/>
                <w14:textFill>
                  <w14:solidFill>
                    <w14:schemeClr w14:val="tx1"/>
                  </w14:solidFill>
                </w14:textFill>
              </w:rPr>
              <w:t>增值服务方案</w:t>
            </w:r>
            <w:r>
              <w:rPr>
                <w:rFonts w:hint="eastAsia" w:ascii="宋体" w:hAnsi="宋体" w:eastAsia="宋体" w:cs="宋体"/>
                <w:bCs w:val="0"/>
                <w:color w:val="000000" w:themeColor="text1"/>
                <w:sz w:val="21"/>
                <w:szCs w:val="21"/>
                <w:highlight w:val="none"/>
                <w14:textFill>
                  <w14:solidFill>
                    <w14:schemeClr w14:val="tx1"/>
                  </w14:solidFill>
                </w14:textFill>
              </w:rPr>
              <w:t>或所提供</w:t>
            </w:r>
            <w:r>
              <w:rPr>
                <w:rFonts w:hint="eastAsia" w:ascii="宋体" w:hAnsi="宋体" w:eastAsia="宋体" w:cs="宋体"/>
                <w:color w:val="000000" w:themeColor="text1"/>
                <w:sz w:val="21"/>
                <w:szCs w:val="21"/>
                <w:highlight w:val="none"/>
                <w:lang w:val="en-US" w:eastAsia="zh-CN"/>
                <w14:textFill>
                  <w14:solidFill>
                    <w14:schemeClr w14:val="tx1"/>
                  </w14:solidFill>
                </w14:textFill>
              </w:rPr>
              <w:t>增值服务方案</w:t>
            </w:r>
            <w:r>
              <w:rPr>
                <w:rFonts w:hint="eastAsia" w:ascii="宋体" w:hAnsi="宋体" w:eastAsia="宋体" w:cs="宋体"/>
                <w:bCs w:val="0"/>
                <w:color w:val="000000" w:themeColor="text1"/>
                <w:sz w:val="21"/>
                <w:szCs w:val="21"/>
                <w:highlight w:val="none"/>
                <w14:textFill>
                  <w14:solidFill>
                    <w14:schemeClr w14:val="tx1"/>
                  </w14:solidFill>
                </w14:textFill>
              </w:rPr>
              <w:t>内容未满足磋商文件要求</w:t>
            </w:r>
            <w:r>
              <w:rPr>
                <w:rFonts w:hint="eastAsia" w:ascii="宋体" w:hAnsi="宋体" w:eastAsia="宋体" w:cs="宋体"/>
                <w:bCs w:val="0"/>
                <w:color w:val="000000" w:themeColor="text1"/>
                <w:sz w:val="21"/>
                <w:szCs w:val="21"/>
                <w:highlight w:val="none"/>
                <w:lang w:eastAsia="zh-CN"/>
                <w14:textFill>
                  <w14:solidFill>
                    <w14:schemeClr w14:val="tx1"/>
                  </w14:solidFill>
                </w14:textFill>
              </w:rPr>
              <w:t>。</w:t>
            </w:r>
          </w:p>
        </w:tc>
        <w:tc>
          <w:tcPr>
            <w:tcW w:w="845" w:type="dxa"/>
            <w:noWrap w:val="0"/>
            <w:vAlign w:val="center"/>
          </w:tcPr>
          <w:p w14:paraId="7F16D04C">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10分</w:t>
            </w:r>
          </w:p>
        </w:tc>
      </w:tr>
      <w:tr w14:paraId="06B02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1" w:type="dxa"/>
            <w:noWrap w:val="0"/>
            <w:vAlign w:val="center"/>
          </w:tcPr>
          <w:p w14:paraId="7F11B7F5">
            <w:pPr>
              <w:adjustRightInd w:val="0"/>
              <w:spacing w:line="360" w:lineRule="auto"/>
              <w:ind w:left="-105" w:leftChars="-50" w:right="-105" w:rightChars="-50"/>
              <w:jc w:val="center"/>
              <w:textAlignment w:val="baseline"/>
              <w:rPr>
                <w:rFonts w:hint="eastAsia" w:ascii="宋体" w:hAnsi="宋体" w:eastAsia="宋体" w:cs="宋体"/>
                <w:bCs/>
                <w:color w:val="000000" w:themeColor="text1"/>
                <w:kern w:val="0"/>
                <w:sz w:val="21"/>
                <w:szCs w:val="21"/>
                <w:lang w:eastAsia="zh-CN"/>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2.</w:t>
            </w:r>
            <w:r>
              <w:rPr>
                <w:rFonts w:hint="eastAsia" w:ascii="宋体" w:hAnsi="宋体" w:cs="宋体"/>
                <w:bCs/>
                <w:color w:val="000000" w:themeColor="text1"/>
                <w:kern w:val="0"/>
                <w:sz w:val="21"/>
                <w:szCs w:val="21"/>
                <w:lang w:val="en-US" w:eastAsia="zh-CN"/>
                <w14:textFill>
                  <w14:solidFill>
                    <w14:schemeClr w14:val="tx1"/>
                  </w14:solidFill>
                </w14:textFill>
              </w:rPr>
              <w:t>4</w:t>
            </w:r>
          </w:p>
        </w:tc>
        <w:tc>
          <w:tcPr>
            <w:tcW w:w="2155" w:type="dxa"/>
            <w:noWrap w:val="0"/>
            <w:vAlign w:val="center"/>
          </w:tcPr>
          <w:p w14:paraId="0DC523D0">
            <w:pPr>
              <w:widowControl/>
              <w:spacing w:line="360" w:lineRule="auto"/>
              <w:jc w:val="center"/>
              <w:rPr>
                <w:rFonts w:hint="default" w:ascii="宋体" w:hAnsi="宋体" w:eastAsia="宋体" w:cs="宋体"/>
                <w:bCs w:val="0"/>
                <w:color w:val="000000" w:themeColor="text1"/>
                <w:sz w:val="21"/>
                <w:szCs w:val="21"/>
                <w:highlight w:val="none"/>
                <w:lang w:val="en-US" w:eastAsia="zh-CN"/>
                <w14:textFill>
                  <w14:solidFill>
                    <w14:schemeClr w14:val="tx1"/>
                  </w14:solidFill>
                </w14:textFill>
              </w:rPr>
            </w:pPr>
            <w:r>
              <w:rPr>
                <w:rFonts w:hint="eastAsia" w:ascii="宋体" w:hAnsi="宋体" w:cs="宋体"/>
                <w:bCs w:val="0"/>
                <w:color w:val="000000" w:themeColor="text1"/>
                <w:sz w:val="21"/>
                <w:szCs w:val="21"/>
                <w:highlight w:val="none"/>
                <w:lang w:val="en-US" w:eastAsia="zh-CN"/>
                <w14:textFill>
                  <w14:solidFill>
                    <w14:schemeClr w14:val="tx1"/>
                  </w14:solidFill>
                </w14:textFill>
              </w:rPr>
              <w:t>信誉分</w:t>
            </w:r>
          </w:p>
        </w:tc>
        <w:tc>
          <w:tcPr>
            <w:tcW w:w="5721" w:type="dxa"/>
            <w:noWrap w:val="0"/>
            <w:vAlign w:val="center"/>
          </w:tcPr>
          <w:p w14:paraId="3520CD39">
            <w:pPr>
              <w:widowControl/>
              <w:spacing w:line="360" w:lineRule="auto"/>
              <w:ind w:firstLine="420"/>
              <w:rPr>
                <w:rFonts w:hint="eastAsia" w:ascii="宋体" w:hAnsi="宋体" w:eastAsia="宋体" w:cs="宋体"/>
                <w:bCs w:val="0"/>
                <w:color w:val="000000" w:themeColor="text1"/>
                <w:sz w:val="21"/>
                <w:szCs w:val="21"/>
                <w:highlight w:val="none"/>
                <w14:textFill>
                  <w14:solidFill>
                    <w14:schemeClr w14:val="tx1"/>
                  </w14:solidFill>
                </w14:textFill>
              </w:rPr>
            </w:pPr>
            <w:r>
              <w:rPr>
                <w:rFonts w:hint="eastAsia" w:ascii="宋体" w:hAnsi="宋体" w:eastAsia="宋体" w:cs="宋体"/>
                <w:bCs w:val="0"/>
                <w:color w:val="000000" w:themeColor="text1"/>
                <w:sz w:val="21"/>
                <w:szCs w:val="21"/>
                <w:highlight w:val="none"/>
                <w14:textFill>
                  <w14:solidFill>
                    <w14:schemeClr w14:val="tx1"/>
                  </w14:solidFill>
                </w14:textFill>
              </w:rPr>
              <w:t>根据202</w:t>
            </w:r>
            <w:r>
              <w:rPr>
                <w:rFonts w:hint="eastAsia" w:ascii="宋体" w:hAnsi="宋体" w:eastAsia="宋体" w:cs="宋体"/>
                <w:bCs w:val="0"/>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Cs w:val="0"/>
                <w:color w:val="000000" w:themeColor="text1"/>
                <w:sz w:val="21"/>
                <w:szCs w:val="21"/>
                <w:highlight w:val="none"/>
                <w14:textFill>
                  <w14:solidFill>
                    <w14:schemeClr w14:val="tx1"/>
                  </w14:solidFill>
                </w14:textFill>
              </w:rPr>
              <w:t>年以来供应商及供应商下辖所有分支机构被广西保险监管部门处罚情况进行打分，20</w:t>
            </w:r>
            <w:r>
              <w:rPr>
                <w:rFonts w:hint="eastAsia" w:ascii="宋体" w:hAnsi="宋体" w:eastAsia="宋体" w:cs="宋体"/>
                <w:bCs w:val="0"/>
                <w:color w:val="000000" w:themeColor="text1"/>
                <w:sz w:val="21"/>
                <w:szCs w:val="21"/>
                <w:highlight w:val="none"/>
                <w:lang w:val="en-US" w:eastAsia="zh-CN"/>
                <w14:textFill>
                  <w14:solidFill>
                    <w14:schemeClr w14:val="tx1"/>
                  </w14:solidFill>
                </w14:textFill>
              </w:rPr>
              <w:t>22</w:t>
            </w:r>
            <w:r>
              <w:rPr>
                <w:rFonts w:hint="eastAsia" w:ascii="宋体" w:hAnsi="宋体" w:eastAsia="宋体" w:cs="宋体"/>
                <w:bCs w:val="0"/>
                <w:color w:val="000000" w:themeColor="text1"/>
                <w:sz w:val="21"/>
                <w:szCs w:val="21"/>
                <w:highlight w:val="none"/>
                <w14:textFill>
                  <w14:solidFill>
                    <w14:schemeClr w14:val="tx1"/>
                  </w14:solidFill>
                </w14:textFill>
              </w:rPr>
              <w:t>年以来供应商及供应商下辖所有分支机构被广西保险监管部门处罚次数为0次的得</w:t>
            </w:r>
            <w:r>
              <w:rPr>
                <w:rFonts w:hint="eastAsia" w:ascii="宋体" w:hAnsi="宋体" w:eastAsia="宋体" w:cs="宋体"/>
                <w:bCs w:val="0"/>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bCs w:val="0"/>
                <w:color w:val="000000" w:themeColor="text1"/>
                <w:sz w:val="21"/>
                <w:szCs w:val="21"/>
                <w:highlight w:val="none"/>
                <w14:textFill>
                  <w14:solidFill>
                    <w14:schemeClr w14:val="tx1"/>
                  </w14:solidFill>
                </w14:textFill>
              </w:rPr>
              <w:t>分，每有1次处罚的扣</w:t>
            </w:r>
            <w:r>
              <w:rPr>
                <w:rFonts w:hint="eastAsia" w:ascii="宋体" w:hAnsi="宋体" w:eastAsia="宋体" w:cs="宋体"/>
                <w:bCs w:val="0"/>
                <w:color w:val="000000" w:themeColor="text1"/>
                <w:sz w:val="21"/>
                <w:szCs w:val="21"/>
                <w:highlight w:val="none"/>
                <w:lang w:val="en-US" w:eastAsia="zh-CN"/>
                <w14:textFill>
                  <w14:solidFill>
                    <w14:schemeClr w14:val="tx1"/>
                  </w14:solidFill>
                </w14:textFill>
              </w:rPr>
              <w:t>2.5</w:t>
            </w:r>
            <w:r>
              <w:rPr>
                <w:rFonts w:hint="eastAsia" w:ascii="宋体" w:hAnsi="宋体" w:eastAsia="宋体" w:cs="宋体"/>
                <w:bCs w:val="0"/>
                <w:color w:val="000000" w:themeColor="text1"/>
                <w:sz w:val="21"/>
                <w:szCs w:val="21"/>
                <w:highlight w:val="none"/>
                <w14:textFill>
                  <w14:solidFill>
                    <w14:schemeClr w14:val="tx1"/>
                  </w14:solidFill>
                </w14:textFill>
              </w:rPr>
              <w:t>分。</w:t>
            </w:r>
          </w:p>
          <w:p w14:paraId="1A981F57">
            <w:pPr>
              <w:widowControl/>
              <w:spacing w:line="360" w:lineRule="auto"/>
              <w:ind w:firstLine="420"/>
              <w:rPr>
                <w:rFonts w:hint="eastAsia" w:ascii="宋体" w:hAnsi="宋体" w:eastAsia="宋体" w:cs="宋体"/>
                <w:bCs w:val="0"/>
                <w:color w:val="000000" w:themeColor="text1"/>
                <w:sz w:val="21"/>
                <w:szCs w:val="21"/>
                <w:highlight w:val="none"/>
                <w14:textFill>
                  <w14:solidFill>
                    <w14:schemeClr w14:val="tx1"/>
                  </w14:solidFill>
                </w14:textFill>
              </w:rPr>
            </w:pPr>
            <w:r>
              <w:rPr>
                <w:rFonts w:hint="eastAsia" w:ascii="宋体" w:hAnsi="宋体" w:eastAsia="宋体" w:cs="宋体"/>
                <w:bCs w:val="0"/>
                <w:color w:val="000000" w:themeColor="text1"/>
                <w:sz w:val="21"/>
                <w:szCs w:val="21"/>
                <w:highlight w:val="none"/>
                <w14:textFill>
                  <w14:solidFill>
                    <w14:schemeClr w14:val="tx1"/>
                  </w14:solidFill>
                </w14:textFill>
              </w:rPr>
              <w:t>注：以中国银行保险监督管理委员会广西监管局官方网站行政处罚公示结果为准http://www.cbirc.gov.cn，数据资料须由供应商诚信提供截图到响应文件中（供应商明确表述不得分的除外）并加盖供应商公章,供应商须对数据的真实性负责，对不如实提供数据骗取得分的，经查询属实的其响应无效，并报监管部门核实作虚假应标论处。</w:t>
            </w:r>
          </w:p>
        </w:tc>
        <w:tc>
          <w:tcPr>
            <w:tcW w:w="845" w:type="dxa"/>
            <w:noWrap w:val="0"/>
            <w:vAlign w:val="center"/>
          </w:tcPr>
          <w:p w14:paraId="7EDE3A23">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10分</w:t>
            </w:r>
          </w:p>
        </w:tc>
      </w:tr>
      <w:tr w14:paraId="24E8B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41" w:type="dxa"/>
            <w:noWrap w:val="0"/>
            <w:vAlign w:val="center"/>
          </w:tcPr>
          <w:p w14:paraId="63F0977A">
            <w:pPr>
              <w:widowControl/>
              <w:spacing w:line="360" w:lineRule="auto"/>
              <w:jc w:val="center"/>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3</w:t>
            </w:r>
          </w:p>
        </w:tc>
        <w:tc>
          <w:tcPr>
            <w:tcW w:w="2155" w:type="dxa"/>
            <w:noWrap w:val="0"/>
            <w:vAlign w:val="center"/>
          </w:tcPr>
          <w:p w14:paraId="57F41BB6">
            <w:pPr>
              <w:widowControl/>
              <w:spacing w:line="360" w:lineRule="auto"/>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商务分</w:t>
            </w:r>
          </w:p>
        </w:tc>
        <w:tc>
          <w:tcPr>
            <w:tcW w:w="5721" w:type="dxa"/>
            <w:noWrap w:val="0"/>
            <w:vAlign w:val="center"/>
          </w:tcPr>
          <w:p w14:paraId="26C4F356">
            <w:pPr>
              <w:widowControl/>
              <w:spacing w:line="360" w:lineRule="auto"/>
              <w:jc w:val="center"/>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评审因素</w:t>
            </w:r>
          </w:p>
        </w:tc>
        <w:tc>
          <w:tcPr>
            <w:tcW w:w="845" w:type="dxa"/>
            <w:noWrap w:val="0"/>
            <w:vAlign w:val="center"/>
          </w:tcPr>
          <w:p w14:paraId="6EBBA6AF">
            <w:pPr>
              <w:widowControl/>
              <w:spacing w:line="360" w:lineRule="auto"/>
              <w:jc w:val="center"/>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分值</w:t>
            </w:r>
          </w:p>
        </w:tc>
      </w:tr>
      <w:tr w14:paraId="63427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641" w:type="dxa"/>
            <w:noWrap w:val="0"/>
            <w:vAlign w:val="center"/>
          </w:tcPr>
          <w:p w14:paraId="094B4A23">
            <w:pPr>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3.1</w:t>
            </w:r>
          </w:p>
        </w:tc>
        <w:tc>
          <w:tcPr>
            <w:tcW w:w="2155" w:type="dxa"/>
            <w:noWrap w:val="0"/>
            <w:vAlign w:val="center"/>
          </w:tcPr>
          <w:p w14:paraId="3FF98F34">
            <w:pPr>
              <w:widowControl/>
              <w:adjustRightInd w:val="0"/>
              <w:spacing w:line="360" w:lineRule="auto"/>
              <w:jc w:val="center"/>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业绩分</w:t>
            </w:r>
          </w:p>
        </w:tc>
        <w:tc>
          <w:tcPr>
            <w:tcW w:w="5721" w:type="dxa"/>
            <w:noWrap w:val="0"/>
            <w:vAlign w:val="top"/>
          </w:tcPr>
          <w:p w14:paraId="01199983">
            <w:pPr>
              <w:pStyle w:val="57"/>
              <w:widowControl w:val="0"/>
              <w:wordWrap/>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供应商自202</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年1月1日至本项目投标截止之日止，承接或完成过类似业绩的每一项得</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分。</w:t>
            </w:r>
          </w:p>
          <w:p w14:paraId="2A6D7BC9">
            <w:pPr>
              <w:pStyle w:val="57"/>
              <w:widowControl w:val="0"/>
              <w:wordWrap/>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注：类似业绩是指：医院相关医疗保险服务业绩；</w:t>
            </w:r>
            <w:r>
              <w:rPr>
                <w:rFonts w:hint="eastAsia" w:ascii="宋体" w:hAnsi="宋体" w:eastAsia="宋体" w:cs="宋体"/>
                <w:color w:val="000000" w:themeColor="text1"/>
                <w:sz w:val="21"/>
                <w:szCs w:val="21"/>
                <w:highlight w:val="none"/>
                <w14:textFill>
                  <w14:solidFill>
                    <w14:schemeClr w14:val="tx1"/>
                  </w14:solidFill>
                </w14:textFill>
              </w:rPr>
              <w:t>需提供中标</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成交</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通知书或合同协议书</w:t>
            </w:r>
            <w:r>
              <w:rPr>
                <w:rFonts w:hint="eastAsia" w:ascii="宋体" w:hAnsi="宋体" w:eastAsia="宋体" w:cs="宋体"/>
                <w:color w:val="000000" w:themeColor="text1"/>
                <w:sz w:val="21"/>
                <w:szCs w:val="21"/>
                <w:highlight w:val="none"/>
                <w:lang w:val="en-US" w:eastAsia="zh-CN"/>
                <w14:textFill>
                  <w14:solidFill>
                    <w14:schemeClr w14:val="tx1"/>
                  </w14:solidFill>
                </w14:textFill>
              </w:rPr>
              <w:t>或保险单抄件</w:t>
            </w:r>
            <w:r>
              <w:rPr>
                <w:rFonts w:hint="eastAsia" w:ascii="宋体" w:hAnsi="宋体" w:eastAsia="宋体" w:cs="宋体"/>
                <w:color w:val="000000" w:themeColor="text1"/>
                <w:sz w:val="21"/>
                <w:szCs w:val="21"/>
                <w:highlight w:val="none"/>
                <w14:textFill>
                  <w14:solidFill>
                    <w14:schemeClr w14:val="tx1"/>
                  </w14:solidFill>
                </w14:textFill>
              </w:rPr>
              <w:t>，以中标</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成交</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通知书或合同协议书日期</w:t>
            </w:r>
            <w:r>
              <w:rPr>
                <w:rFonts w:hint="eastAsia" w:ascii="宋体" w:hAnsi="宋体" w:eastAsia="宋体" w:cs="宋体"/>
                <w:color w:val="000000" w:themeColor="text1"/>
                <w:sz w:val="21"/>
                <w:szCs w:val="21"/>
                <w:highlight w:val="none"/>
                <w:lang w:val="en-US" w:eastAsia="zh-CN"/>
                <w14:textFill>
                  <w14:solidFill>
                    <w14:schemeClr w14:val="tx1"/>
                  </w14:solidFill>
                </w14:textFill>
              </w:rPr>
              <w:t>或保险单抄件生效日期</w:t>
            </w:r>
            <w:r>
              <w:rPr>
                <w:rFonts w:hint="eastAsia" w:ascii="宋体" w:hAnsi="宋体" w:eastAsia="宋体" w:cs="宋体"/>
                <w:color w:val="000000" w:themeColor="text1"/>
                <w:sz w:val="21"/>
                <w:szCs w:val="21"/>
                <w:highlight w:val="none"/>
                <w14:textFill>
                  <w14:solidFill>
                    <w14:schemeClr w14:val="tx1"/>
                  </w14:solidFill>
                </w14:textFill>
              </w:rPr>
              <w:t>为准。</w:t>
            </w:r>
          </w:p>
        </w:tc>
        <w:tc>
          <w:tcPr>
            <w:tcW w:w="845" w:type="dxa"/>
            <w:noWrap w:val="0"/>
            <w:vAlign w:val="center"/>
          </w:tcPr>
          <w:p w14:paraId="0E9D89DC">
            <w:pPr>
              <w:widowControl/>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20分</w:t>
            </w:r>
          </w:p>
        </w:tc>
      </w:tr>
      <w:tr w14:paraId="5BBD5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41" w:type="dxa"/>
            <w:noWrap w:val="0"/>
            <w:vAlign w:val="center"/>
          </w:tcPr>
          <w:p w14:paraId="5AE7A1DE">
            <w:pPr>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3.2</w:t>
            </w:r>
          </w:p>
        </w:tc>
        <w:tc>
          <w:tcPr>
            <w:tcW w:w="2155" w:type="dxa"/>
            <w:noWrap w:val="0"/>
            <w:vAlign w:val="center"/>
          </w:tcPr>
          <w:p w14:paraId="086002C8">
            <w:pPr>
              <w:widowControl/>
              <w:adjustRightInd w:val="0"/>
              <w:spacing w:line="360" w:lineRule="auto"/>
              <w:jc w:val="center"/>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lang w:val="en-US" w:eastAsia="zh-CN"/>
                <w14:textFill>
                  <w14:solidFill>
                    <w14:schemeClr w14:val="tx1"/>
                  </w14:solidFill>
                </w14:textFill>
              </w:rPr>
              <w:t>荣誉</w:t>
            </w:r>
            <w:r>
              <w:rPr>
                <w:rFonts w:hint="eastAsia" w:ascii="宋体" w:hAnsi="宋体" w:eastAsia="宋体" w:cs="宋体"/>
                <w:bCs/>
                <w:color w:val="000000" w:themeColor="text1"/>
                <w:sz w:val="21"/>
                <w:szCs w:val="21"/>
                <w14:textFill>
                  <w14:solidFill>
                    <w14:schemeClr w14:val="tx1"/>
                  </w14:solidFill>
                </w14:textFill>
              </w:rPr>
              <w:t>分</w:t>
            </w:r>
          </w:p>
        </w:tc>
        <w:tc>
          <w:tcPr>
            <w:tcW w:w="5721" w:type="dxa"/>
            <w:noWrap w:val="0"/>
            <w:vAlign w:val="top"/>
          </w:tcPr>
          <w:p w14:paraId="42E377A9">
            <w:pPr>
              <w:pStyle w:val="57"/>
              <w:widowControl w:val="0"/>
              <w:wordWrap/>
              <w:spacing w:line="440" w:lineRule="exact"/>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（1）供应商或其总公司2023年1月以来获得有关评级机构颁发的保险财务实力评级A1级证书，提供证书复印件，并加盖供应商公章，每个得3分，满分3分。</w:t>
            </w:r>
          </w:p>
          <w:p w14:paraId="46276B5B">
            <w:pPr>
              <w:pStyle w:val="83"/>
              <w:autoSpaceDE w:val="0"/>
              <w:autoSpaceDN w:val="0"/>
              <w:adjustRightInd w:val="0"/>
              <w:spacing w:line="44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（2）供应商或其总公司2022年1月1日以来获得政府部门颁奖或表彰的每个得3分，满分6分。</w:t>
            </w:r>
          </w:p>
        </w:tc>
        <w:tc>
          <w:tcPr>
            <w:tcW w:w="845" w:type="dxa"/>
            <w:noWrap w:val="0"/>
            <w:vAlign w:val="center"/>
          </w:tcPr>
          <w:p w14:paraId="20525666">
            <w:pPr>
              <w:widowControl/>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9</w:t>
            </w:r>
            <w:r>
              <w:rPr>
                <w:rFonts w:hint="eastAsia" w:ascii="宋体" w:hAnsi="宋体" w:eastAsia="宋体" w:cs="宋体"/>
                <w:color w:val="000000" w:themeColor="text1"/>
                <w:kern w:val="0"/>
                <w:sz w:val="21"/>
                <w:szCs w:val="21"/>
                <w14:textFill>
                  <w14:solidFill>
                    <w14:schemeClr w14:val="tx1"/>
                  </w14:solidFill>
                </w14:textFill>
              </w:rPr>
              <w:t>分</w:t>
            </w:r>
          </w:p>
        </w:tc>
      </w:tr>
      <w:tr w14:paraId="7FC03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641" w:type="dxa"/>
            <w:noWrap w:val="0"/>
            <w:vAlign w:val="center"/>
          </w:tcPr>
          <w:p w14:paraId="15D59336">
            <w:pPr>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3.3</w:t>
            </w:r>
          </w:p>
        </w:tc>
        <w:tc>
          <w:tcPr>
            <w:tcW w:w="2155" w:type="dxa"/>
            <w:noWrap w:val="0"/>
            <w:vAlign w:val="center"/>
          </w:tcPr>
          <w:p w14:paraId="390AE477">
            <w:pPr>
              <w:widowControl/>
              <w:adjustRightInd w:val="0"/>
              <w:spacing w:line="360" w:lineRule="auto"/>
              <w:jc w:val="center"/>
              <w:textAlignment w:val="baseline"/>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综合偿付能力分</w:t>
            </w:r>
          </w:p>
        </w:tc>
        <w:tc>
          <w:tcPr>
            <w:tcW w:w="5721" w:type="dxa"/>
            <w:noWrap w:val="0"/>
            <w:vAlign w:val="top"/>
          </w:tcPr>
          <w:p w14:paraId="74EC2AE5">
            <w:pPr>
              <w:pStyle w:val="57"/>
              <w:widowControl w:val="0"/>
              <w:wordWrap/>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2023年第四季度综合偿付能力充足率大于等于230%的，得8分；大于等于150%小于230%的，得4分；小于100%或不提供的不得分。（满分8分）注：提供经审计的年度偿付能力报告复印件或官方网站上公布的数据截图并加盖公章；</w:t>
            </w:r>
          </w:p>
        </w:tc>
        <w:tc>
          <w:tcPr>
            <w:tcW w:w="845" w:type="dxa"/>
            <w:noWrap w:val="0"/>
            <w:vAlign w:val="center"/>
          </w:tcPr>
          <w:p w14:paraId="53B5F7F6">
            <w:pPr>
              <w:widowControl/>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8分</w:t>
            </w:r>
          </w:p>
        </w:tc>
      </w:tr>
      <w:tr w14:paraId="2B22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362" w:type="dxa"/>
            <w:gridSpan w:val="4"/>
            <w:noWrap w:val="0"/>
            <w:vAlign w:val="top"/>
          </w:tcPr>
          <w:p w14:paraId="112891A0">
            <w:pPr>
              <w:widowControl/>
              <w:spacing w:line="360" w:lineRule="auto"/>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总得分＝1＋2+3</w:t>
            </w:r>
          </w:p>
        </w:tc>
      </w:tr>
    </w:tbl>
    <w:p w14:paraId="6F7F8A91">
      <w:pPr>
        <w:pStyle w:val="20"/>
        <w:widowControl w:val="0"/>
        <w:tabs>
          <w:tab w:val="left" w:pos="4214"/>
        </w:tabs>
        <w:wordWrap/>
        <w:spacing w:line="440" w:lineRule="exact"/>
        <w:textAlignment w:val="auto"/>
        <w:rPr>
          <w:rFonts w:hint="eastAsia" w:ascii="宋体" w:hAnsi="宋体" w:eastAsia="宋体" w:cs="宋体"/>
          <w:b/>
          <w:color w:val="000000" w:themeColor="text1"/>
          <w:sz w:val="21"/>
          <w:szCs w:val="21"/>
          <w:highlight w:val="none"/>
          <w14:textFill>
            <w14:solidFill>
              <w14:schemeClr w14:val="tx1"/>
            </w14:solidFill>
          </w14:textFill>
        </w:rPr>
      </w:pPr>
    </w:p>
    <w:p w14:paraId="4053A6F2">
      <w:pPr>
        <w:pStyle w:val="20"/>
        <w:widowControl w:val="0"/>
        <w:tabs>
          <w:tab w:val="left" w:pos="4214"/>
        </w:tabs>
        <w:wordWrap/>
        <w:spacing w:line="440" w:lineRule="exac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lang w:val="en-US" w:eastAsia="zh-CN"/>
          <w14:textFill>
            <w14:solidFill>
              <w14:schemeClr w14:val="tx1"/>
            </w14:solidFill>
          </w14:textFill>
        </w:rPr>
        <w:t>四</w:t>
      </w:r>
      <w:r>
        <w:rPr>
          <w:rFonts w:hint="eastAsia" w:ascii="宋体" w:hAnsi="宋体" w:eastAsia="宋体" w:cs="宋体"/>
          <w:b/>
          <w:color w:val="000000" w:themeColor="text1"/>
          <w:sz w:val="21"/>
          <w:szCs w:val="21"/>
          <w:highlight w:val="none"/>
          <w14:textFill>
            <w14:solidFill>
              <w14:schemeClr w14:val="tx1"/>
            </w14:solidFill>
          </w14:textFill>
        </w:rPr>
        <w:t>、推荐及确定成交候选人原则</w:t>
      </w:r>
    </w:p>
    <w:p w14:paraId="41326226">
      <w:pPr>
        <w:widowControl w:val="0"/>
        <w:wordWrap/>
        <w:spacing w:line="440" w:lineRule="exact"/>
        <w:ind w:firstLine="420" w:firstLineChars="200"/>
        <w:textAlignment w:val="auto"/>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（1）磋商小组应当根据综合得分由高到低排列次序，若得分相同时，以最后报价由低到高顺序排列；若仍相同的，按</w:t>
      </w:r>
      <w:r>
        <w:rPr>
          <w:rFonts w:hint="eastAsia" w:ascii="宋体" w:hAnsi="宋体" w:cs="宋体"/>
          <w:color w:val="000000" w:themeColor="text1"/>
          <w:kern w:val="0"/>
          <w:sz w:val="21"/>
          <w:szCs w:val="21"/>
          <w:highlight w:val="none"/>
          <w:lang w:val="en-US" w:eastAsia="zh-CN"/>
          <w14:textFill>
            <w14:solidFill>
              <w14:schemeClr w14:val="tx1"/>
            </w14:solidFill>
          </w14:textFill>
        </w:rPr>
        <w:t>技术</w:t>
      </w:r>
      <w:r>
        <w:rPr>
          <w:rFonts w:hint="eastAsia" w:ascii="宋体" w:hAnsi="宋体" w:eastAsia="宋体" w:cs="宋体"/>
          <w:color w:val="000000" w:themeColor="text1"/>
          <w:kern w:val="0"/>
          <w:sz w:val="21"/>
          <w:szCs w:val="21"/>
          <w:highlight w:val="none"/>
          <w14:textFill>
            <w14:solidFill>
              <w14:schemeClr w14:val="tx1"/>
            </w14:solidFill>
          </w14:textFill>
        </w:rPr>
        <w:t>分高到低顺序排列并推荐成交候选供应商</w:t>
      </w:r>
      <w:r>
        <w:rPr>
          <w:rFonts w:hint="eastAsia" w:ascii="宋体" w:hAnsi="宋体" w:cs="宋体"/>
          <w:color w:val="000000" w:themeColor="text1"/>
          <w:kern w:val="0"/>
          <w:sz w:val="21"/>
          <w:szCs w:val="21"/>
          <w:highlight w:val="none"/>
          <w:lang w:eastAsia="zh-CN"/>
          <w14:textFill>
            <w14:solidFill>
              <w14:schemeClr w14:val="tx1"/>
            </w14:solidFill>
          </w14:textFill>
        </w:rPr>
        <w:t>，</w:t>
      </w:r>
      <w:r>
        <w:rPr>
          <w:rFonts w:hint="eastAsia" w:ascii="宋体" w:hAnsi="宋体" w:cs="宋体"/>
          <w:color w:val="000000" w:themeColor="text1"/>
          <w:kern w:val="0"/>
          <w:sz w:val="21"/>
          <w:szCs w:val="21"/>
          <w:highlight w:val="none"/>
          <w:lang w:val="en-US" w:eastAsia="zh-CN"/>
          <w14:textFill>
            <w14:solidFill>
              <w14:schemeClr w14:val="tx1"/>
            </w14:solidFill>
          </w14:textFill>
        </w:rPr>
        <w:t>技术分仍相同的由磋商小组随机抽取推荐；</w:t>
      </w:r>
    </w:p>
    <w:p w14:paraId="2CBCCF1E">
      <w:pPr>
        <w:widowControl w:val="0"/>
        <w:tabs>
          <w:tab w:val="left" w:pos="4214"/>
        </w:tabs>
        <w:wordWrap/>
        <w:spacing w:line="440" w:lineRule="exact"/>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（2）磋商小组可推荐前三名为中标候选人，采购人应当确定磋商小组推荐排名第一的中标候选人为成交供应商。</w:t>
      </w:r>
    </w:p>
    <w:p w14:paraId="3FC46A2C">
      <w:pPr>
        <w:widowControl w:val="0"/>
        <w:wordWrap/>
        <w:snapToGrid w:val="0"/>
        <w:spacing w:line="440" w:lineRule="exact"/>
        <w:ind w:firstLine="420" w:firstLineChars="200"/>
        <w:textAlignment w:val="auto"/>
        <w:outlineLvl w:val="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排名第一的中标候选人放弃中标、因不可抗力提出不能履行合同，或者磋商文件规定应当提交履约保证金而在规定的期限内未能提交的，或因失信行为被取消中标候选人资格的，采购人可以确定排名第二的中标候选人为成交供应商或者重新组织招标。</w:t>
      </w:r>
    </w:p>
    <w:p w14:paraId="57807AB1">
      <w:pPr>
        <w:widowControl w:val="0"/>
        <w:wordWrap/>
        <w:snapToGrid w:val="0"/>
        <w:spacing w:line="440" w:lineRule="exact"/>
        <w:ind w:firstLine="422" w:firstLineChars="200"/>
        <w:textAlignment w:val="auto"/>
        <w:outlineLvl w:val="4"/>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注：磋商小组认为供应商的报价明显低于其他通过符合性审查供应商的报价，有可能影响产品质量或者不能诚信履约的，应当要求其在合理的时间内在线提供书面说明，必要时提交相关证明材料，请各位供应商提前做好准备；供应商不能证明其报价合理性的，磋商小组应当将其作为无效竞标处理。</w:t>
      </w:r>
    </w:p>
    <w:p w14:paraId="29C50914">
      <w:pPr>
        <w:snapToGrid w:val="0"/>
        <w:spacing w:line="360" w:lineRule="auto"/>
        <w:ind w:firstLine="420" w:firstLineChars="200"/>
        <w:outlineLvl w:val="4"/>
        <w:rPr>
          <w:rFonts w:hint="eastAsia" w:ascii="宋体" w:hAnsi="宋体" w:cs="宋体"/>
          <w:color w:val="000000" w:themeColor="text1"/>
          <w:szCs w:val="21"/>
          <w:highlight w:val="none"/>
          <w14:textFill>
            <w14:solidFill>
              <w14:schemeClr w14:val="tx1"/>
            </w14:solidFill>
          </w14:textFill>
        </w:rPr>
      </w:pPr>
    </w:p>
    <w:bookmarkEnd w:id="1"/>
    <w:p w14:paraId="6D28646E">
      <w:pPr>
        <w:spacing w:line="340" w:lineRule="exact"/>
        <w:ind w:left="25" w:leftChars="12" w:firstLine="308" w:firstLineChars="147"/>
        <w:rPr>
          <w:rFonts w:ascii="宋体" w:hAnsi="宋体"/>
          <w:b/>
          <w:color w:val="000000" w:themeColor="text1"/>
          <w:szCs w:val="20"/>
          <w:highlight w:val="none"/>
          <w14:textFill>
            <w14:solidFill>
              <w14:schemeClr w14:val="tx1"/>
            </w14:solidFill>
          </w14:textFill>
        </w:rPr>
      </w:pPr>
      <w:r>
        <w:rPr>
          <w:rFonts w:ascii="Arial" w:hAnsi="Arial" w:cs="Arial"/>
          <w:b w:val="0"/>
          <w:bCs w:val="0"/>
          <w:color w:val="000000" w:themeColor="text1"/>
          <w:highlight w:val="none"/>
          <w14:textFill>
            <w14:solidFill>
              <w14:schemeClr w14:val="tx1"/>
            </w14:solidFill>
          </w14:textFill>
        </w:rPr>
        <w:br w:type="page"/>
      </w:r>
      <w:r>
        <w:rPr>
          <w:rFonts w:hint="eastAsia" w:ascii="宋体" w:hAnsi="宋体" w:cs="宋体"/>
          <w:b/>
          <w:color w:val="000000" w:themeColor="text1"/>
          <w:szCs w:val="21"/>
          <w:highlight w:val="none"/>
          <w14:textFill>
            <w14:solidFill>
              <w14:schemeClr w14:val="tx1"/>
            </w14:solidFill>
          </w14:textFill>
        </w:rPr>
        <w:t>具体权限、期限和相关事项。</w:t>
      </w:r>
    </w:p>
    <w:p w14:paraId="3B07CB46">
      <w:pPr>
        <w:spacing w:line="340" w:lineRule="exact"/>
        <w:ind w:left="25" w:leftChars="12" w:firstLine="310" w:firstLineChars="147"/>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3.投诉书应简要列明质疑事项，质疑函、质疑答复等作为附件材料提供。</w:t>
      </w:r>
    </w:p>
    <w:p w14:paraId="498A628D">
      <w:pPr>
        <w:spacing w:line="340" w:lineRule="exact"/>
        <w:ind w:left="25" w:leftChars="12" w:firstLine="310" w:firstLineChars="147"/>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4.投诉书的投诉事项应具体、明确，并有必要的事实依据和法律依据。</w:t>
      </w:r>
    </w:p>
    <w:p w14:paraId="6F1799A2">
      <w:pPr>
        <w:spacing w:line="340" w:lineRule="exact"/>
        <w:ind w:left="25" w:leftChars="12" w:firstLine="310" w:firstLineChars="147"/>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5.投诉书的投诉请求应与投诉事项相关。</w:t>
      </w:r>
    </w:p>
    <w:p w14:paraId="0FE9F61B">
      <w:pPr>
        <w:spacing w:line="340" w:lineRule="exact"/>
        <w:ind w:left="25" w:leftChars="12" w:firstLine="310" w:firstLineChars="147"/>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6.投诉人为自然人的，投诉书应由本人签字；投诉人为法人或者其他组织的，投诉书应由法定代表人、主要负责人，或者其授权代表签字或者盖章，并加盖公章。</w:t>
      </w:r>
    </w:p>
    <w:p w14:paraId="27DE6790">
      <w:pPr>
        <w:spacing w:line="340" w:lineRule="exact"/>
        <w:ind w:left="25" w:leftChars="12" w:firstLine="310" w:firstLineChars="147"/>
        <w:rPr>
          <w:rFonts w:hint="eastAsia" w:ascii="宋体" w:hAnsi="宋体" w:cs="宋体"/>
          <w:b/>
          <w:color w:val="000000" w:themeColor="text1"/>
          <w:kern w:val="0"/>
          <w:szCs w:val="21"/>
          <w:highlight w:val="none"/>
          <w14:textFill>
            <w14:solidFill>
              <w14:schemeClr w14:val="tx1"/>
            </w14:solidFill>
          </w14:textFill>
        </w:rPr>
      </w:pPr>
    </w:p>
    <w:p w14:paraId="4C77CD8E">
      <w:pPr>
        <w:spacing w:line="340" w:lineRule="exact"/>
        <w:ind w:left="25" w:leftChars="12" w:firstLine="310" w:firstLineChars="147"/>
        <w:rPr>
          <w:rFonts w:ascii="宋体" w:hAnsi="宋体"/>
          <w:b/>
          <w:color w:val="000000" w:themeColor="text1"/>
          <w:kern w:val="0"/>
          <w:szCs w:val="21"/>
          <w:highlight w:val="none"/>
          <w14:textFill>
            <w14:solidFill>
              <w14:schemeClr w14:val="tx1"/>
            </w14:solidFill>
          </w14:textFill>
        </w:rPr>
      </w:pPr>
    </w:p>
    <w:p w14:paraId="0CAAEAA1">
      <w:pPr>
        <w:tabs>
          <w:tab w:val="center" w:pos="4410"/>
          <w:tab w:val="left" w:pos="6735"/>
        </w:tabs>
        <w:spacing w:line="480" w:lineRule="auto"/>
        <w:jc w:val="center"/>
        <w:rPr>
          <w:rFonts w:ascii="宋体" w:hAnsi="宋体"/>
          <w:b/>
          <w:color w:val="000000" w:themeColor="text1"/>
          <w:kern w:val="0"/>
          <w:sz w:val="32"/>
          <w:szCs w:val="32"/>
          <w:highlight w:val="none"/>
          <w14:textFill>
            <w14:solidFill>
              <w14:schemeClr w14:val="tx1"/>
            </w14:solidFill>
          </w14:textFill>
        </w:rPr>
      </w:pPr>
    </w:p>
    <w:p w14:paraId="2AD2993C">
      <w:pPr>
        <w:tabs>
          <w:tab w:val="center" w:pos="4410"/>
          <w:tab w:val="left" w:pos="6735"/>
        </w:tabs>
        <w:spacing w:line="480" w:lineRule="auto"/>
        <w:jc w:val="center"/>
        <w:rPr>
          <w:rFonts w:ascii="宋体" w:hAnsi="宋体"/>
          <w:b/>
          <w:color w:val="000000" w:themeColor="text1"/>
          <w:kern w:val="0"/>
          <w:sz w:val="32"/>
          <w:szCs w:val="32"/>
          <w:highlight w:val="none"/>
          <w14:textFill>
            <w14:solidFill>
              <w14:schemeClr w14:val="tx1"/>
            </w14:solidFill>
          </w14:textFill>
        </w:rPr>
      </w:pPr>
    </w:p>
    <w:p w14:paraId="50FF2EB0">
      <w:pPr>
        <w:tabs>
          <w:tab w:val="center" w:pos="4410"/>
          <w:tab w:val="left" w:pos="6735"/>
        </w:tabs>
        <w:spacing w:line="480" w:lineRule="auto"/>
        <w:jc w:val="center"/>
        <w:rPr>
          <w:rFonts w:hint="eastAsia" w:ascii="宋体" w:hAnsi="宋体"/>
          <w:b/>
          <w:color w:val="000000" w:themeColor="text1"/>
          <w:kern w:val="0"/>
          <w:sz w:val="32"/>
          <w:szCs w:val="32"/>
          <w:highlight w:val="none"/>
          <w14:textFill>
            <w14:solidFill>
              <w14:schemeClr w14:val="tx1"/>
            </w14:solidFill>
          </w14:textFill>
        </w:rPr>
      </w:pPr>
    </w:p>
    <w:p w14:paraId="1F1DA86E">
      <w:pPr>
        <w:tabs>
          <w:tab w:val="center" w:pos="4410"/>
          <w:tab w:val="left" w:pos="6735"/>
        </w:tabs>
        <w:spacing w:line="480" w:lineRule="auto"/>
        <w:jc w:val="center"/>
        <w:rPr>
          <w:rFonts w:hint="eastAsia" w:ascii="宋体" w:hAnsi="宋体"/>
          <w:b/>
          <w:color w:val="000000" w:themeColor="text1"/>
          <w:kern w:val="0"/>
          <w:sz w:val="32"/>
          <w:szCs w:val="32"/>
          <w:highlight w:val="none"/>
          <w14:textFill>
            <w14:solidFill>
              <w14:schemeClr w14:val="tx1"/>
            </w14:solidFill>
          </w14:textFill>
        </w:rPr>
      </w:pPr>
    </w:p>
    <w:p w14:paraId="112A34E2">
      <w:pPr>
        <w:rPr>
          <w:rFonts w:hint="eastAsia" w:ascii="宋体" w:hAnsi="宋体"/>
          <w:b/>
          <w:color w:val="000000" w:themeColor="text1"/>
          <w:kern w:val="0"/>
          <w:sz w:val="32"/>
          <w:szCs w:val="32"/>
          <w:highlight w:val="none"/>
          <w14:textFill>
            <w14:solidFill>
              <w14:schemeClr w14:val="tx1"/>
            </w14:solidFill>
          </w14:textFill>
        </w:rPr>
      </w:pPr>
    </w:p>
    <w:p w14:paraId="40BE1E78">
      <w:pPr>
        <w:rPr>
          <w:rFonts w:hint="eastAsia"/>
          <w:color w:val="000000" w:themeColor="text1"/>
          <w:highlight w:val="none"/>
          <w14:textFill>
            <w14:solidFill>
              <w14:schemeClr w14:val="tx1"/>
            </w14:solidFill>
          </w14:textFill>
        </w:rPr>
      </w:pPr>
    </w:p>
    <w:p w14:paraId="06FBD089">
      <w:pPr>
        <w:tabs>
          <w:tab w:val="left" w:pos="1408"/>
        </w:tabs>
        <w:snapToGrid w:val="0"/>
        <w:spacing w:line="340" w:lineRule="exact"/>
        <w:rPr>
          <w:rFonts w:hint="eastAsia" w:ascii="宋体" w:hAnsi="宋体" w:cs="宋体"/>
          <w:b/>
          <w:bCs/>
          <w:color w:val="000000" w:themeColor="text1"/>
          <w:szCs w:val="21"/>
          <w:highlight w:val="none"/>
          <w14:textFill>
            <w14:solidFill>
              <w14:schemeClr w14:val="tx1"/>
            </w14:solidFill>
          </w14:textFill>
        </w:rPr>
      </w:pPr>
    </w:p>
    <w:sectPr>
      <w:headerReference r:id="rId3" w:type="default"/>
      <w:footerReference r:id="rId4" w:type="default"/>
      <w:pgSz w:w="11906" w:h="16838"/>
      <w:pgMar w:top="1440" w:right="1080" w:bottom="1440" w:left="108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Sim Sun">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Ђˎ̥">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auto"/>
    <w:pitch w:val="default"/>
    <w:sig w:usb0="A00006FF" w:usb1="4000205B" w:usb2="00000010" w:usb3="00000000" w:csb0="2000019F"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F1F97">
    <w:pPr>
      <w:pStyle w:val="24"/>
    </w:pPr>
    <w:r>
      <w:rPr>
        <w:rFonts w:ascii="Tahoma" w:hAnsi="Tahoma"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6CC8052">
                          <w:pPr>
                            <w:pStyle w:val="24"/>
                          </w:pPr>
                          <w:r>
                            <w:fldChar w:fldCharType="begin"/>
                          </w:r>
                          <w:r>
                            <w:instrText xml:space="preserve"> PAGE  \* MERGEFORMAT </w:instrText>
                          </w:r>
                          <w:r>
                            <w:fldChar w:fldCharType="separate"/>
                          </w:r>
                          <w:r>
                            <w:t>8</w:t>
                          </w:r>
                          <w:r>
                            <w:fldChar w:fldCharType="end"/>
                          </w:r>
                        </w:p>
                      </w:txbxContent>
                    </wps:txbx>
                    <wps:bodyPr wrap="none" lIns="0" tIns="0" rIns="0" bIns="0" upright="1">
                      <a:spAutoFit/>
                    </wps:bodyPr>
                  </wps:wsp>
                </a:graphicData>
              </a:graphic>
            </wp:anchor>
          </w:drawing>
        </mc:Choice>
        <mc:Fallback>
          <w:pict>
            <v:rect id="文本框 1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LKcMRfEAQAAkAMAAA4AAAAAAAAAAQAgAAAAHwEAAGRycy9lMm9Eb2MueG1s&#10;UEsFBgAAAAAGAAYAWQEAAFUFAAAAAA==&#10;">
              <v:fill on="f" focussize="0,0"/>
              <v:stroke on="f"/>
              <v:imagedata o:title=""/>
              <o:lock v:ext="edit" aspectratio="f"/>
              <v:textbox inset="0mm,0mm,0mm,0mm" style="mso-fit-shape-to-text:t;">
                <w:txbxContent>
                  <w:p w14:paraId="56CC8052">
                    <w:pPr>
                      <w:pStyle w:val="24"/>
                    </w:pPr>
                    <w:r>
                      <w:fldChar w:fldCharType="begin"/>
                    </w:r>
                    <w:r>
                      <w:instrText xml:space="preserve"> PAGE  \* MERGEFORMAT </w:instrText>
                    </w:r>
                    <w:r>
                      <w:fldChar w:fldCharType="separate"/>
                    </w:r>
                    <w:r>
                      <w:t>8</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CEA6B">
    <w:pPr>
      <w:pStyle w:val="25"/>
      <w:pBdr>
        <w:bottom w:val="none" w:color="000000"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zYmQzOGI3Nzk1ZTBkNGI4YzA4NDJhZmFmODg2ZDUifQ=="/>
  </w:docVars>
  <w:rsids>
    <w:rsidRoot w:val="00000000"/>
    <w:rsid w:val="00641E35"/>
    <w:rsid w:val="009A7605"/>
    <w:rsid w:val="01B42322"/>
    <w:rsid w:val="02B41891"/>
    <w:rsid w:val="03906AAC"/>
    <w:rsid w:val="05485881"/>
    <w:rsid w:val="06DD024B"/>
    <w:rsid w:val="08666CD9"/>
    <w:rsid w:val="0A530095"/>
    <w:rsid w:val="0B49271F"/>
    <w:rsid w:val="0BBF669C"/>
    <w:rsid w:val="0C837641"/>
    <w:rsid w:val="0CBE29D6"/>
    <w:rsid w:val="0F9A670D"/>
    <w:rsid w:val="102B6B23"/>
    <w:rsid w:val="123A333B"/>
    <w:rsid w:val="12F87D71"/>
    <w:rsid w:val="134C29E0"/>
    <w:rsid w:val="1453670D"/>
    <w:rsid w:val="14C447F8"/>
    <w:rsid w:val="1AEE0821"/>
    <w:rsid w:val="1C874A89"/>
    <w:rsid w:val="1D2B4C10"/>
    <w:rsid w:val="1FA91C77"/>
    <w:rsid w:val="23F70746"/>
    <w:rsid w:val="24184D89"/>
    <w:rsid w:val="24781891"/>
    <w:rsid w:val="24984D89"/>
    <w:rsid w:val="24FD1E47"/>
    <w:rsid w:val="256817EC"/>
    <w:rsid w:val="25A93CC2"/>
    <w:rsid w:val="27134FE3"/>
    <w:rsid w:val="27800622"/>
    <w:rsid w:val="28315E83"/>
    <w:rsid w:val="28A8200F"/>
    <w:rsid w:val="2970538A"/>
    <w:rsid w:val="2CBF5B6F"/>
    <w:rsid w:val="2D7626DC"/>
    <w:rsid w:val="300A0D74"/>
    <w:rsid w:val="30CE6CD3"/>
    <w:rsid w:val="33943C0E"/>
    <w:rsid w:val="34D32B0A"/>
    <w:rsid w:val="36A729BE"/>
    <w:rsid w:val="36FB7BC2"/>
    <w:rsid w:val="36FE3764"/>
    <w:rsid w:val="3A4A0B00"/>
    <w:rsid w:val="3AEF1D20"/>
    <w:rsid w:val="3B3337EC"/>
    <w:rsid w:val="3E1C675A"/>
    <w:rsid w:val="41124178"/>
    <w:rsid w:val="4164121A"/>
    <w:rsid w:val="41985278"/>
    <w:rsid w:val="4292190E"/>
    <w:rsid w:val="4447497A"/>
    <w:rsid w:val="45E16709"/>
    <w:rsid w:val="4799729B"/>
    <w:rsid w:val="4C5E0AB3"/>
    <w:rsid w:val="4E1731E4"/>
    <w:rsid w:val="50015CA1"/>
    <w:rsid w:val="524244DF"/>
    <w:rsid w:val="550D1034"/>
    <w:rsid w:val="565F7902"/>
    <w:rsid w:val="567809C3"/>
    <w:rsid w:val="572A52CC"/>
    <w:rsid w:val="57961A49"/>
    <w:rsid w:val="58F9211A"/>
    <w:rsid w:val="5B7A2AEE"/>
    <w:rsid w:val="5BE15EA9"/>
    <w:rsid w:val="5D4810F0"/>
    <w:rsid w:val="5E10474A"/>
    <w:rsid w:val="5F1A1FCF"/>
    <w:rsid w:val="5F287B9B"/>
    <w:rsid w:val="5F970351"/>
    <w:rsid w:val="60036CCD"/>
    <w:rsid w:val="60AF330B"/>
    <w:rsid w:val="60D20B61"/>
    <w:rsid w:val="61720E31"/>
    <w:rsid w:val="61E25CA1"/>
    <w:rsid w:val="62652D5E"/>
    <w:rsid w:val="63402C15"/>
    <w:rsid w:val="64DF3B8A"/>
    <w:rsid w:val="64E32AD7"/>
    <w:rsid w:val="65AB170A"/>
    <w:rsid w:val="66DE4873"/>
    <w:rsid w:val="67662E07"/>
    <w:rsid w:val="68035E0F"/>
    <w:rsid w:val="682D3D04"/>
    <w:rsid w:val="68482C2A"/>
    <w:rsid w:val="684921C0"/>
    <w:rsid w:val="69220F37"/>
    <w:rsid w:val="69424A44"/>
    <w:rsid w:val="696D6B39"/>
    <w:rsid w:val="69A24BAC"/>
    <w:rsid w:val="6AC459F9"/>
    <w:rsid w:val="6B276E1D"/>
    <w:rsid w:val="6BD6587A"/>
    <w:rsid w:val="6CDC1D32"/>
    <w:rsid w:val="6D287C0C"/>
    <w:rsid w:val="6D463172"/>
    <w:rsid w:val="6E4A0A40"/>
    <w:rsid w:val="6E7032E1"/>
    <w:rsid w:val="6FE920DB"/>
    <w:rsid w:val="707B3571"/>
    <w:rsid w:val="70DF4CCE"/>
    <w:rsid w:val="71E61DC4"/>
    <w:rsid w:val="71F413EE"/>
    <w:rsid w:val="72005FE5"/>
    <w:rsid w:val="727F33AE"/>
    <w:rsid w:val="73917324"/>
    <w:rsid w:val="743C545E"/>
    <w:rsid w:val="75CC47B3"/>
    <w:rsid w:val="75CD61DE"/>
    <w:rsid w:val="771A5453"/>
    <w:rsid w:val="7A794B87"/>
    <w:rsid w:val="7B8A691F"/>
    <w:rsid w:val="7C386577"/>
    <w:rsid w:val="7C9059A5"/>
    <w:rsid w:val="7DFD6BF3"/>
    <w:rsid w:val="7E837D82"/>
    <w:rsid w:val="7E8A5BFA"/>
    <w:rsid w:val="7EBE0DB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qFormat="1" w:uiPriority="99"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3"/>
    <w:qFormat/>
    <w:uiPriority w:val="0"/>
    <w:pPr>
      <w:keepNext/>
      <w:keepLines/>
      <w:spacing w:line="500" w:lineRule="exact"/>
      <w:jc w:val="center"/>
      <w:outlineLvl w:val="0"/>
    </w:pPr>
    <w:rPr>
      <w:rFonts w:ascii="Tahoma" w:hAnsi="Tahoma"/>
      <w:b/>
      <w:bCs/>
      <w:kern w:val="44"/>
      <w:sz w:val="32"/>
      <w:szCs w:val="44"/>
    </w:rPr>
  </w:style>
  <w:style w:type="paragraph" w:styleId="3">
    <w:name w:val="heading 2"/>
    <w:basedOn w:val="1"/>
    <w:next w:val="4"/>
    <w:link w:val="54"/>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56"/>
    <w:qFormat/>
    <w:uiPriority w:val="0"/>
    <w:pPr>
      <w:keepNext/>
      <w:keepLines/>
      <w:spacing w:before="260" w:after="260" w:line="416" w:lineRule="auto"/>
      <w:outlineLvl w:val="2"/>
    </w:pPr>
    <w:rPr>
      <w:b/>
      <w:bCs/>
      <w:kern w:val="0"/>
      <w:sz w:val="32"/>
      <w:szCs w:val="32"/>
    </w:rPr>
  </w:style>
  <w:style w:type="paragraph" w:styleId="6">
    <w:name w:val="heading 4"/>
    <w:basedOn w:val="1"/>
    <w:next w:val="1"/>
    <w:qFormat/>
    <w:uiPriority w:val="0"/>
    <w:pPr>
      <w:keepNext/>
      <w:spacing w:before="240" w:after="60"/>
      <w:outlineLvl w:val="3"/>
    </w:pPr>
    <w:rPr>
      <w:b/>
      <w:bCs/>
      <w:sz w:val="28"/>
      <w:szCs w:val="28"/>
    </w:rPr>
  </w:style>
  <w:style w:type="paragraph" w:styleId="7">
    <w:name w:val="heading 6"/>
    <w:basedOn w:val="1"/>
    <w:next w:val="1"/>
    <w:link w:val="124"/>
    <w:qFormat/>
    <w:uiPriority w:val="0"/>
    <w:pPr>
      <w:keepNext/>
      <w:keepLines/>
      <w:spacing w:before="240" w:after="64" w:line="320" w:lineRule="auto"/>
      <w:outlineLvl w:val="5"/>
    </w:pPr>
    <w:rPr>
      <w:rFonts w:ascii="Arial" w:hAnsi="Arial" w:eastAsia="黑体"/>
      <w:b/>
      <w:bCs/>
      <w:sz w:val="24"/>
    </w:rPr>
  </w:style>
  <w:style w:type="character" w:default="1" w:styleId="38">
    <w:name w:val="Default Paragraph Font"/>
    <w:unhideWhenUsed/>
    <w:qFormat/>
    <w:uiPriority w:val="1"/>
  </w:style>
  <w:style w:type="table" w:default="1" w:styleId="36">
    <w:name w:val="Normal Table"/>
    <w:unhideWhenUsed/>
    <w:qFormat/>
    <w:uiPriority w:val="99"/>
    <w:tblPr>
      <w:tblCellMar>
        <w:top w:w="0" w:type="dxa"/>
        <w:left w:w="108" w:type="dxa"/>
        <w:bottom w:w="0" w:type="dxa"/>
        <w:right w:w="108" w:type="dxa"/>
      </w:tblCellMar>
    </w:tblPr>
  </w:style>
  <w:style w:type="paragraph" w:styleId="4">
    <w:name w:val="Normal Indent"/>
    <w:basedOn w:val="1"/>
    <w:link w:val="125"/>
    <w:qFormat/>
    <w:uiPriority w:val="0"/>
    <w:pPr>
      <w:ind w:firstLine="420"/>
    </w:pPr>
    <w:rPr>
      <w:szCs w:val="20"/>
    </w:rPr>
  </w:style>
  <w:style w:type="paragraph" w:styleId="8">
    <w:name w:val="table of authorities"/>
    <w:basedOn w:val="1"/>
    <w:next w:val="1"/>
    <w:qFormat/>
    <w:uiPriority w:val="0"/>
    <w:pPr>
      <w:ind w:left="420" w:leftChars="200"/>
    </w:pPr>
  </w:style>
  <w:style w:type="paragraph" w:styleId="9">
    <w:name w:val="index 8"/>
    <w:basedOn w:val="1"/>
    <w:next w:val="1"/>
    <w:qFormat/>
    <w:uiPriority w:val="0"/>
    <w:pPr>
      <w:ind w:left="2940"/>
    </w:pPr>
  </w:style>
  <w:style w:type="paragraph" w:styleId="10">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1">
    <w:name w:val="Document Map"/>
    <w:basedOn w:val="1"/>
    <w:link w:val="126"/>
    <w:qFormat/>
    <w:uiPriority w:val="0"/>
    <w:rPr>
      <w:rFonts w:ascii="宋体" w:hAnsi="Tahoma"/>
      <w:sz w:val="18"/>
      <w:szCs w:val="18"/>
    </w:rPr>
  </w:style>
  <w:style w:type="paragraph" w:styleId="12">
    <w:name w:val="toa heading"/>
    <w:basedOn w:val="1"/>
    <w:next w:val="1"/>
    <w:qFormat/>
    <w:uiPriority w:val="0"/>
    <w:rPr>
      <w:rFonts w:ascii="Arial" w:hAnsi="Arial"/>
      <w:sz w:val="24"/>
    </w:rPr>
  </w:style>
  <w:style w:type="paragraph" w:styleId="13">
    <w:name w:val="annotation text"/>
    <w:basedOn w:val="1"/>
    <w:link w:val="127"/>
    <w:semiHidden/>
    <w:qFormat/>
    <w:uiPriority w:val="0"/>
    <w:pPr>
      <w:jc w:val="left"/>
    </w:pPr>
  </w:style>
  <w:style w:type="paragraph" w:styleId="14">
    <w:name w:val="Body Text 3"/>
    <w:basedOn w:val="1"/>
    <w:qFormat/>
    <w:uiPriority w:val="0"/>
    <w:pPr>
      <w:spacing w:line="240" w:lineRule="exact"/>
    </w:pPr>
    <w:rPr>
      <w:rFonts w:ascii="宋体" w:hAnsi="宋体"/>
      <w:color w:val="000000"/>
      <w:szCs w:val="21"/>
    </w:rPr>
  </w:style>
  <w:style w:type="paragraph" w:styleId="15">
    <w:name w:val="Body Text"/>
    <w:basedOn w:val="1"/>
    <w:qFormat/>
    <w:uiPriority w:val="0"/>
    <w:pPr>
      <w:spacing w:line="380" w:lineRule="exact"/>
    </w:pPr>
    <w:rPr>
      <w:sz w:val="24"/>
    </w:rPr>
  </w:style>
  <w:style w:type="paragraph" w:styleId="16">
    <w:name w:val="Body Text Indent"/>
    <w:basedOn w:val="1"/>
    <w:next w:val="17"/>
    <w:link w:val="128"/>
    <w:qFormat/>
    <w:uiPriority w:val="0"/>
    <w:pPr>
      <w:spacing w:after="120"/>
      <w:ind w:left="420" w:leftChars="200"/>
    </w:pPr>
    <w:rPr>
      <w:rFonts w:ascii="Tahoma" w:hAnsi="Tahoma"/>
    </w:rPr>
  </w:style>
  <w:style w:type="paragraph" w:styleId="17">
    <w:name w:val="envelope return"/>
    <w:basedOn w:val="1"/>
    <w:qFormat/>
    <w:uiPriority w:val="0"/>
    <w:pPr>
      <w:snapToGrid w:val="0"/>
    </w:pPr>
    <w:rPr>
      <w:rFonts w:ascii="Arial" w:hAnsi="Arial"/>
    </w:rPr>
  </w:style>
  <w:style w:type="paragraph" w:styleId="18">
    <w:name w:val="Block Text"/>
    <w:basedOn w:val="1"/>
    <w:qFormat/>
    <w:uiPriority w:val="0"/>
    <w:pPr>
      <w:snapToGrid w:val="0"/>
      <w:spacing w:line="480" w:lineRule="atLeast"/>
      <w:ind w:left="-57" w:right="69" w:firstLine="0"/>
    </w:pPr>
    <w:rPr>
      <w:rFonts w:ascii="宋体" w:hAnsi="宋体"/>
      <w:b/>
      <w:sz w:val="24"/>
      <w:szCs w:val="20"/>
    </w:rPr>
  </w:style>
  <w:style w:type="paragraph" w:styleId="19">
    <w:name w:val="toc 3"/>
    <w:basedOn w:val="1"/>
    <w:next w:val="1"/>
    <w:qFormat/>
    <w:uiPriority w:val="39"/>
    <w:pPr>
      <w:ind w:left="840" w:leftChars="400"/>
    </w:pPr>
  </w:style>
  <w:style w:type="paragraph" w:styleId="20">
    <w:name w:val="Plain Text"/>
    <w:basedOn w:val="1"/>
    <w:link w:val="129"/>
    <w:qFormat/>
    <w:uiPriority w:val="0"/>
    <w:rPr>
      <w:rFonts w:ascii="宋体" w:hAnsi="Courier New"/>
      <w:szCs w:val="20"/>
    </w:rPr>
  </w:style>
  <w:style w:type="paragraph" w:styleId="21">
    <w:name w:val="Date"/>
    <w:basedOn w:val="1"/>
    <w:next w:val="1"/>
    <w:qFormat/>
    <w:uiPriority w:val="0"/>
    <w:pPr>
      <w:ind w:left="100" w:leftChars="2500"/>
    </w:pPr>
  </w:style>
  <w:style w:type="paragraph" w:styleId="22">
    <w:name w:val="Body Text Indent 2"/>
    <w:basedOn w:val="1"/>
    <w:qFormat/>
    <w:uiPriority w:val="0"/>
    <w:pPr>
      <w:ind w:firstLine="630"/>
    </w:pPr>
    <w:rPr>
      <w:sz w:val="32"/>
      <w:szCs w:val="20"/>
    </w:rPr>
  </w:style>
  <w:style w:type="paragraph" w:styleId="23">
    <w:name w:val="Balloon Text"/>
    <w:basedOn w:val="1"/>
    <w:semiHidden/>
    <w:qFormat/>
    <w:uiPriority w:val="0"/>
    <w:rPr>
      <w:sz w:val="18"/>
      <w:szCs w:val="18"/>
    </w:rPr>
  </w:style>
  <w:style w:type="paragraph" w:styleId="24">
    <w:name w:val="footer"/>
    <w:basedOn w:val="1"/>
    <w:link w:val="130"/>
    <w:qFormat/>
    <w:uiPriority w:val="99"/>
    <w:pPr>
      <w:tabs>
        <w:tab w:val="center" w:pos="4153"/>
        <w:tab w:val="right" w:pos="8306"/>
      </w:tabs>
      <w:snapToGrid w:val="0"/>
      <w:jc w:val="left"/>
    </w:pPr>
    <w:rPr>
      <w:rFonts w:ascii="Tahoma" w:hAnsi="Tahoma"/>
      <w:sz w:val="18"/>
      <w:szCs w:val="18"/>
    </w:rPr>
  </w:style>
  <w:style w:type="paragraph" w:styleId="25">
    <w:name w:val="header"/>
    <w:basedOn w:val="1"/>
    <w:link w:val="131"/>
    <w:qFormat/>
    <w:uiPriority w:val="99"/>
    <w:pPr>
      <w:pBdr>
        <w:bottom w:val="single" w:color="auto" w:sz="6" w:space="1"/>
      </w:pBdr>
      <w:tabs>
        <w:tab w:val="center" w:pos="4153"/>
        <w:tab w:val="right" w:pos="8306"/>
      </w:tabs>
      <w:snapToGrid w:val="0"/>
      <w:jc w:val="center"/>
    </w:pPr>
    <w:rPr>
      <w:rFonts w:ascii="Tahoma" w:hAnsi="Tahoma"/>
      <w:sz w:val="18"/>
      <w:szCs w:val="18"/>
    </w:rPr>
  </w:style>
  <w:style w:type="paragraph" w:styleId="26">
    <w:name w:val="toc 1"/>
    <w:basedOn w:val="1"/>
    <w:next w:val="1"/>
    <w:qFormat/>
    <w:uiPriority w:val="39"/>
  </w:style>
  <w:style w:type="paragraph" w:styleId="27">
    <w:name w:val="toc 2"/>
    <w:basedOn w:val="1"/>
    <w:next w:val="1"/>
    <w:qFormat/>
    <w:uiPriority w:val="39"/>
    <w:pPr>
      <w:ind w:left="420" w:leftChars="200"/>
    </w:pPr>
  </w:style>
  <w:style w:type="paragraph" w:styleId="28">
    <w:name w:val="toc 9"/>
    <w:basedOn w:val="1"/>
    <w:next w:val="1"/>
    <w:qFormat/>
    <w:uiPriority w:val="39"/>
    <w:pPr>
      <w:ind w:left="1680"/>
      <w:jc w:val="left"/>
    </w:pPr>
    <w:rPr>
      <w:sz w:val="18"/>
      <w:szCs w:val="18"/>
    </w:rPr>
  </w:style>
  <w:style w:type="paragraph" w:styleId="29">
    <w:name w:val="List 4"/>
    <w:basedOn w:val="1"/>
    <w:unhideWhenUsed/>
    <w:qFormat/>
    <w:uiPriority w:val="99"/>
    <w:pPr>
      <w:ind w:left="100" w:leftChars="600" w:hanging="200" w:hangingChars="200"/>
      <w:contextualSpacing/>
    </w:pPr>
  </w:style>
  <w:style w:type="paragraph" w:styleId="30">
    <w:name w:val="Message Header"/>
    <w:basedOn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Cambria" w:hAnsi="Cambria"/>
    </w:rPr>
  </w:style>
  <w:style w:type="paragraph" w:styleId="3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2">
    <w:name w:val="Title"/>
    <w:basedOn w:val="1"/>
    <w:next w:val="1"/>
    <w:qFormat/>
    <w:uiPriority w:val="10"/>
    <w:pPr>
      <w:spacing w:before="240" w:after="60"/>
      <w:jc w:val="center"/>
      <w:outlineLvl w:val="0"/>
    </w:pPr>
    <w:rPr>
      <w:rFonts w:ascii="等线 Light" w:hAnsi="等线 Light"/>
      <w:b/>
      <w:bCs/>
      <w:sz w:val="32"/>
      <w:szCs w:val="32"/>
    </w:rPr>
  </w:style>
  <w:style w:type="paragraph" w:styleId="33">
    <w:name w:val="annotation subject"/>
    <w:basedOn w:val="13"/>
    <w:next w:val="13"/>
    <w:semiHidden/>
    <w:qFormat/>
    <w:uiPriority w:val="0"/>
    <w:rPr>
      <w:b/>
      <w:bCs/>
    </w:rPr>
  </w:style>
  <w:style w:type="paragraph" w:styleId="34">
    <w:name w:val="Body Text First Indent"/>
    <w:basedOn w:val="15"/>
    <w:next w:val="1"/>
    <w:qFormat/>
    <w:uiPriority w:val="99"/>
    <w:pPr>
      <w:spacing w:line="240" w:lineRule="auto"/>
      <w:ind w:firstLine="420" w:firstLineChars="100"/>
    </w:pPr>
    <w:rPr>
      <w:sz w:val="21"/>
    </w:rPr>
  </w:style>
  <w:style w:type="paragraph" w:styleId="35">
    <w:name w:val="Body Text First Indent 2"/>
    <w:basedOn w:val="1"/>
    <w:qFormat/>
    <w:uiPriority w:val="0"/>
    <w:pPr>
      <w:spacing w:after="120"/>
      <w:ind w:left="420" w:leftChars="200" w:firstLine="420" w:firstLineChars="200"/>
    </w:pPr>
  </w:style>
  <w:style w:type="table" w:styleId="37">
    <w:name w:val="Table Grid"/>
    <w:basedOn w:val="3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0"/>
    <w:rPr>
      <w:rFonts w:ascii="Tahoma" w:hAnsi="Tahoma"/>
      <w:b/>
      <w:bCs/>
      <w:sz w:val="24"/>
      <w:szCs w:val="20"/>
    </w:rPr>
  </w:style>
  <w:style w:type="character" w:styleId="40">
    <w:name w:val="page number"/>
    <w:qFormat/>
    <w:uiPriority w:val="0"/>
  </w:style>
  <w:style w:type="character" w:styleId="41">
    <w:name w:val="FollowedHyperlink"/>
    <w:unhideWhenUsed/>
    <w:qFormat/>
    <w:uiPriority w:val="99"/>
    <w:rPr>
      <w:color w:val="954F72"/>
      <w:u w:val="single"/>
    </w:rPr>
  </w:style>
  <w:style w:type="character" w:styleId="42">
    <w:name w:val="Emphasis"/>
    <w:qFormat/>
    <w:uiPriority w:val="0"/>
  </w:style>
  <w:style w:type="character" w:styleId="43">
    <w:name w:val="HTML Definition"/>
    <w:qFormat/>
    <w:uiPriority w:val="0"/>
  </w:style>
  <w:style w:type="character" w:styleId="44">
    <w:name w:val="HTML Typewriter"/>
    <w:qFormat/>
    <w:uiPriority w:val="0"/>
    <w:rPr>
      <w:rFonts w:hint="default" w:ascii="monospace" w:hAnsi="monospace" w:eastAsia="monospace" w:cs="monospace"/>
      <w:sz w:val="20"/>
    </w:rPr>
  </w:style>
  <w:style w:type="character" w:styleId="45">
    <w:name w:val="HTML Acronym"/>
    <w:qFormat/>
    <w:uiPriority w:val="0"/>
  </w:style>
  <w:style w:type="character" w:styleId="46">
    <w:name w:val="HTML Variable"/>
    <w:qFormat/>
    <w:uiPriority w:val="0"/>
    <w:rPr>
      <w:rFonts w:ascii="Tahoma" w:hAnsi="Tahoma"/>
      <w:sz w:val="24"/>
      <w:szCs w:val="20"/>
    </w:rPr>
  </w:style>
  <w:style w:type="character" w:styleId="47">
    <w:name w:val="Hyperlink"/>
    <w:qFormat/>
    <w:uiPriority w:val="99"/>
    <w:rPr>
      <w:rFonts w:ascii="Tahoma" w:hAnsi="Tahoma"/>
      <w:color w:val="0000FF"/>
      <w:sz w:val="24"/>
      <w:szCs w:val="20"/>
      <w:u w:val="single"/>
    </w:rPr>
  </w:style>
  <w:style w:type="character" w:styleId="48">
    <w:name w:val="HTML Code"/>
    <w:qFormat/>
    <w:uiPriority w:val="0"/>
    <w:rPr>
      <w:rFonts w:ascii="monospace" w:hAnsi="monospace" w:eastAsia="monospace" w:cs="monospace"/>
      <w:sz w:val="20"/>
    </w:rPr>
  </w:style>
  <w:style w:type="character" w:styleId="49">
    <w:name w:val="annotation reference"/>
    <w:semiHidden/>
    <w:qFormat/>
    <w:uiPriority w:val="0"/>
    <w:rPr>
      <w:rFonts w:ascii="Tahoma" w:hAnsi="Tahoma"/>
      <w:sz w:val="21"/>
      <w:szCs w:val="21"/>
    </w:rPr>
  </w:style>
  <w:style w:type="character" w:styleId="50">
    <w:name w:val="HTML Cite"/>
    <w:qFormat/>
    <w:uiPriority w:val="0"/>
  </w:style>
  <w:style w:type="character" w:styleId="51">
    <w:name w:val="HTML Keyboard"/>
    <w:qFormat/>
    <w:uiPriority w:val="0"/>
    <w:rPr>
      <w:rFonts w:hint="default" w:ascii="monospace" w:hAnsi="monospace" w:eastAsia="monospace" w:cs="monospace"/>
      <w:sz w:val="20"/>
    </w:rPr>
  </w:style>
  <w:style w:type="character" w:styleId="52">
    <w:name w:val="HTML Sample"/>
    <w:qFormat/>
    <w:uiPriority w:val="0"/>
    <w:rPr>
      <w:rFonts w:hint="default" w:ascii="monospace" w:hAnsi="monospace" w:eastAsia="monospace" w:cs="monospace"/>
    </w:rPr>
  </w:style>
  <w:style w:type="character" w:customStyle="1" w:styleId="53">
    <w:name w:val="标题 1 Char"/>
    <w:link w:val="2"/>
    <w:qFormat/>
    <w:uiPriority w:val="0"/>
    <w:rPr>
      <w:rFonts w:ascii="Tahoma" w:hAnsi="Tahoma" w:eastAsia="宋体"/>
      <w:b/>
      <w:bCs/>
      <w:kern w:val="44"/>
      <w:sz w:val="32"/>
      <w:szCs w:val="44"/>
    </w:rPr>
  </w:style>
  <w:style w:type="character" w:customStyle="1" w:styleId="54">
    <w:name w:val="标题 2 Char"/>
    <w:link w:val="3"/>
    <w:semiHidden/>
    <w:qFormat/>
    <w:uiPriority w:val="0"/>
    <w:rPr>
      <w:rFonts w:ascii="Cambria" w:hAnsi="Cambria" w:eastAsia="宋体" w:cs="Times New Roman"/>
      <w:b/>
      <w:bCs/>
      <w:kern w:val="2"/>
      <w:sz w:val="32"/>
      <w:szCs w:val="32"/>
    </w:rPr>
  </w:style>
  <w:style w:type="paragraph" w:customStyle="1" w:styleId="55">
    <w:name w:val="表格文字"/>
    <w:basedOn w:val="1"/>
    <w:qFormat/>
    <w:uiPriority w:val="0"/>
    <w:pPr>
      <w:adjustRightInd w:val="0"/>
      <w:snapToGrid w:val="0"/>
      <w:jc w:val="center"/>
    </w:pPr>
    <w:rPr>
      <w:rFonts w:ascii="Times New Roman" w:hAnsi="Times New Roman" w:eastAsia="宋体" w:cs="Times New Roman"/>
      <w:kern w:val="0"/>
      <w:sz w:val="24"/>
    </w:rPr>
  </w:style>
  <w:style w:type="character" w:customStyle="1" w:styleId="56">
    <w:name w:val="标题 3 Char"/>
    <w:link w:val="5"/>
    <w:qFormat/>
    <w:uiPriority w:val="0"/>
    <w:rPr>
      <w:b/>
      <w:bCs/>
      <w:sz w:val="32"/>
      <w:szCs w:val="32"/>
    </w:rPr>
  </w:style>
  <w:style w:type="paragraph" w:customStyle="1" w:styleId="57">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58">
    <w:name w:val="段"/>
    <w:next w:val="1"/>
    <w:qFormat/>
    <w:uiPriority w:val="99"/>
    <w:pPr>
      <w:autoSpaceDE w:val="0"/>
      <w:autoSpaceDN w:val="0"/>
      <w:ind w:firstLine="200"/>
      <w:jc w:val="both"/>
    </w:pPr>
    <w:rPr>
      <w:rFonts w:ascii="宋体" w:hAnsi="宋体" w:eastAsia="宋体" w:cs="Times New Roman"/>
      <w:sz w:val="21"/>
      <w:szCs w:val="21"/>
      <w:lang w:val="en-US" w:eastAsia="zh-CN" w:bidi="ar-SA"/>
    </w:rPr>
  </w:style>
  <w:style w:type="paragraph" w:customStyle="1" w:styleId="59">
    <w:name w:val="正文文本缩进1"/>
    <w:basedOn w:val="1"/>
    <w:qFormat/>
    <w:uiPriority w:val="0"/>
    <w:pPr>
      <w:spacing w:before="0" w:after="120"/>
      <w:ind w:left="420" w:right="0" w:firstLine="0"/>
    </w:pPr>
  </w:style>
  <w:style w:type="paragraph" w:customStyle="1" w:styleId="60">
    <w:name w:val="列出段落"/>
    <w:basedOn w:val="1"/>
    <w:link w:val="158"/>
    <w:qFormat/>
    <w:uiPriority w:val="0"/>
    <w:pPr>
      <w:ind w:firstLine="420" w:firstLineChars="200"/>
    </w:pPr>
  </w:style>
  <w:style w:type="paragraph" w:customStyle="1" w:styleId="61">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62">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63">
    <w:name w:val="p0"/>
    <w:basedOn w:val="1"/>
    <w:qFormat/>
    <w:uiPriority w:val="0"/>
    <w:pPr>
      <w:widowControl/>
    </w:pPr>
    <w:rPr>
      <w:kern w:val="0"/>
      <w:szCs w:val="20"/>
    </w:rPr>
  </w:style>
  <w:style w:type="paragraph" w:customStyle="1" w:styleId="64">
    <w:name w:val="Body text|1"/>
    <w:basedOn w:val="1"/>
    <w:qFormat/>
    <w:uiPriority w:val="0"/>
    <w:pPr>
      <w:spacing w:line="350" w:lineRule="auto"/>
      <w:ind w:firstLine="400"/>
      <w:jc w:val="left"/>
    </w:pPr>
    <w:rPr>
      <w:rFonts w:ascii="宋体" w:hAnsi="宋体" w:cs="宋体"/>
      <w:kern w:val="0"/>
      <w:sz w:val="30"/>
      <w:szCs w:val="30"/>
    </w:rPr>
  </w:style>
  <w:style w:type="paragraph" w:customStyle="1" w:styleId="65">
    <w:name w:val="p17"/>
    <w:basedOn w:val="1"/>
    <w:qFormat/>
    <w:uiPriority w:val="0"/>
    <w:pPr>
      <w:widowControl/>
    </w:pPr>
    <w:rPr>
      <w:rFonts w:ascii="宋体" w:hAnsi="宋体" w:cs="宋体"/>
      <w:kern w:val="0"/>
      <w:szCs w:val="21"/>
    </w:rPr>
  </w:style>
  <w:style w:type="paragraph" w:customStyle="1" w:styleId="66">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7">
    <w:name w:val="正文_0"/>
    <w:qFormat/>
    <w:uiPriority w:val="0"/>
    <w:pPr>
      <w:widowControl w:val="0"/>
      <w:tabs>
        <w:tab w:val="left" w:pos="480"/>
      </w:tabs>
      <w:spacing w:line="360" w:lineRule="auto"/>
      <w:jc w:val="both"/>
    </w:pPr>
    <w:rPr>
      <w:rFonts w:ascii="Times New Roman" w:hAnsi="Times New Roman" w:eastAsia="宋体" w:cs="Times New Roman"/>
      <w:kern w:val="2"/>
      <w:sz w:val="24"/>
      <w:szCs w:val="22"/>
      <w:lang w:val="en-US" w:eastAsia="zh-CN" w:bidi="ar-SA"/>
    </w:rPr>
  </w:style>
  <w:style w:type="paragraph" w:customStyle="1" w:styleId="68">
    <w:name w:val="xl72"/>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69">
    <w:name w:val="Table Paragraph"/>
    <w:basedOn w:val="1"/>
    <w:qFormat/>
    <w:uiPriority w:val="1"/>
  </w:style>
  <w:style w:type="paragraph" w:customStyle="1" w:styleId="70">
    <w:name w:val="Body text|3"/>
    <w:basedOn w:val="1"/>
    <w:qFormat/>
    <w:uiPriority w:val="0"/>
    <w:pPr>
      <w:spacing w:after="460"/>
      <w:jc w:val="center"/>
    </w:pPr>
    <w:rPr>
      <w:rFonts w:ascii="宋体" w:hAnsi="宋体" w:cs="宋体"/>
      <w:kern w:val="0"/>
      <w:sz w:val="34"/>
      <w:szCs w:val="34"/>
    </w:rPr>
  </w:style>
  <w:style w:type="paragraph" w:customStyle="1" w:styleId="71">
    <w:name w:val="xl85"/>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72">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73">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74">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75">
    <w:name w:val="TOC 标题1"/>
    <w:basedOn w:val="2"/>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76">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77">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78">
    <w:name w:val="Heading2"/>
    <w:basedOn w:val="1"/>
    <w:next w:val="1"/>
    <w:qFormat/>
    <w:uiPriority w:val="0"/>
    <w:pPr>
      <w:keepNext/>
      <w:keepLines/>
      <w:spacing w:before="260" w:after="260" w:line="416" w:lineRule="auto"/>
    </w:pPr>
    <w:rPr>
      <w:rFonts w:ascii="Arial" w:hAnsi="Arial" w:eastAsia="黑体" w:cs="Times New Roman"/>
      <w:b/>
      <w:bCs/>
      <w:kern w:val="0"/>
      <w:sz w:val="32"/>
      <w:szCs w:val="32"/>
    </w:rPr>
  </w:style>
  <w:style w:type="paragraph" w:customStyle="1" w:styleId="79">
    <w:name w:val="CM15"/>
    <w:basedOn w:val="57"/>
    <w:next w:val="57"/>
    <w:qFormat/>
    <w:uiPriority w:val="0"/>
    <w:pPr>
      <w:spacing w:line="468" w:lineRule="atLeast"/>
    </w:pPr>
    <w:rPr>
      <w:rFonts w:ascii="Sim Sun" w:eastAsia="Sim Sun" w:cs="Times New Roman"/>
      <w:color w:val="auto"/>
    </w:rPr>
  </w:style>
  <w:style w:type="paragraph" w:customStyle="1" w:styleId="80">
    <w:name w:val="1"/>
    <w:basedOn w:val="1"/>
    <w:next w:val="20"/>
    <w:qFormat/>
    <w:uiPriority w:val="0"/>
    <w:rPr>
      <w:rFonts w:ascii="宋体" w:hAnsi="Courier New"/>
      <w:szCs w:val="20"/>
    </w:rPr>
  </w:style>
  <w:style w:type="paragraph" w:customStyle="1" w:styleId="81">
    <w:name w:val="_Style 36"/>
    <w:basedOn w:val="1"/>
    <w:qFormat/>
    <w:uiPriority w:val="0"/>
    <w:rPr>
      <w:rFonts w:ascii="Tahoma" w:hAnsi="Tahoma"/>
      <w:sz w:val="24"/>
      <w:szCs w:val="20"/>
    </w:rPr>
  </w:style>
  <w:style w:type="paragraph" w:customStyle="1" w:styleId="82">
    <w:name w:val="普通(网站)1"/>
    <w:basedOn w:val="1"/>
    <w:qFormat/>
    <w:uiPriority w:val="0"/>
    <w:pPr>
      <w:jc w:val="left"/>
    </w:pPr>
    <w:rPr>
      <w:kern w:val="0"/>
      <w:sz w:val="24"/>
    </w:rPr>
  </w:style>
  <w:style w:type="paragraph" w:customStyle="1" w:styleId="83">
    <w:name w:val="列出段落1"/>
    <w:basedOn w:val="1"/>
    <w:qFormat/>
    <w:uiPriority w:val="0"/>
    <w:pPr>
      <w:ind w:firstLine="420" w:firstLineChars="200"/>
    </w:pPr>
    <w:rPr>
      <w:rFonts w:ascii="仿宋_GB2312" w:eastAsia="仿宋_GB2312"/>
      <w:sz w:val="32"/>
    </w:rPr>
  </w:style>
  <w:style w:type="paragraph" w:customStyle="1" w:styleId="84">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5">
    <w:name w:val="样式1"/>
    <w:basedOn w:val="1"/>
    <w:qFormat/>
    <w:uiPriority w:val="0"/>
    <w:pPr>
      <w:widowControl/>
      <w:jc w:val="left"/>
    </w:pPr>
    <w:rPr>
      <w:rFonts w:ascii="宋体" w:hAnsi="宋体"/>
      <w:kern w:val="0"/>
      <w:szCs w:val="21"/>
    </w:rPr>
  </w:style>
  <w:style w:type="paragraph" w:customStyle="1" w:styleId="86">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87">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8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89">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0">
    <w:name w:val="首行缩进"/>
    <w:basedOn w:val="1"/>
    <w:qFormat/>
    <w:uiPriority w:val="0"/>
    <w:pPr>
      <w:ind w:firstLine="480" w:firstLineChars="200"/>
    </w:pPr>
  </w:style>
  <w:style w:type="paragraph" w:customStyle="1" w:styleId="91">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92">
    <w:name w:val="xl87"/>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93">
    <w:name w:val="xl89"/>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94">
    <w:name w:val="xl88"/>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95">
    <w:name w:val="xl78"/>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96">
    <w:name w:val="Char Char8"/>
    <w:basedOn w:val="1"/>
    <w:qFormat/>
    <w:uiPriority w:val="0"/>
    <w:rPr>
      <w:rFonts w:ascii="Tahoma" w:hAnsi="Tahoma" w:eastAsia="Times New Roman"/>
      <w:kern w:val="0"/>
      <w:sz w:val="24"/>
      <w:szCs w:val="20"/>
    </w:rPr>
  </w:style>
  <w:style w:type="paragraph" w:customStyle="1" w:styleId="97">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98">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9">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00">
    <w:name w:val="CM14"/>
    <w:basedOn w:val="57"/>
    <w:next w:val="57"/>
    <w:qFormat/>
    <w:uiPriority w:val="0"/>
    <w:pPr>
      <w:spacing w:line="468" w:lineRule="atLeast"/>
    </w:pPr>
    <w:rPr>
      <w:rFonts w:ascii="Sim Sun" w:eastAsia="Sim Sun" w:cs="Times New Roman"/>
      <w:color w:val="auto"/>
    </w:rPr>
  </w:style>
  <w:style w:type="paragraph" w:customStyle="1" w:styleId="101">
    <w:name w:val="正文_0_0"/>
    <w:qFormat/>
    <w:uiPriority w:val="0"/>
    <w:pPr>
      <w:widowControl w:val="0"/>
      <w:spacing w:line="360" w:lineRule="auto"/>
      <w:ind w:firstLine="480" w:firstLineChars="200"/>
      <w:jc w:val="both"/>
    </w:pPr>
    <w:rPr>
      <w:rFonts w:ascii="宋体" w:hAnsi="宋体" w:eastAsia="宋体" w:cs="Times New Roman"/>
      <w:color w:val="000000"/>
      <w:kern w:val="2"/>
      <w:sz w:val="24"/>
      <w:szCs w:val="24"/>
      <w:lang w:val="en-US" w:eastAsia="zh-CN" w:bidi="ar-SA"/>
    </w:rPr>
  </w:style>
  <w:style w:type="paragraph" w:customStyle="1" w:styleId="102">
    <w:name w:val="font6"/>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03">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04">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05">
    <w:name w:val="_Style 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0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7">
    <w:name w:val="xl8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08">
    <w:name w:val="Char Char2 Char Char"/>
    <w:basedOn w:val="1"/>
    <w:qFormat/>
    <w:uiPriority w:val="0"/>
    <w:rPr>
      <w:rFonts w:ascii="Tahoma" w:hAnsi="Tahoma"/>
      <w:sz w:val="24"/>
      <w:szCs w:val="20"/>
    </w:rPr>
  </w:style>
  <w:style w:type="paragraph" w:customStyle="1" w:styleId="109">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0">
    <w:name w:val="Char"/>
    <w:basedOn w:val="1"/>
    <w:qFormat/>
    <w:uiPriority w:val="0"/>
    <w:pPr>
      <w:widowControl/>
      <w:adjustRightInd w:val="0"/>
      <w:snapToGrid w:val="0"/>
      <w:spacing w:after="160" w:line="240" w:lineRule="exact"/>
      <w:jc w:val="left"/>
    </w:pPr>
    <w:rPr>
      <w:szCs w:val="20"/>
    </w:rPr>
  </w:style>
  <w:style w:type="paragraph" w:customStyle="1" w:styleId="111">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12">
    <w:name w:val="BodyText"/>
    <w:basedOn w:val="1"/>
    <w:next w:val="1"/>
    <w:qFormat/>
    <w:uiPriority w:val="0"/>
    <w:pPr>
      <w:textAlignment w:val="baseline"/>
    </w:pPr>
    <w:rPr>
      <w:rFonts w:ascii="宋体" w:hAnsi="宋体"/>
      <w:sz w:val="24"/>
    </w:rPr>
  </w:style>
  <w:style w:type="paragraph" w:customStyle="1" w:styleId="113">
    <w:name w:val="正文_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4">
    <w:name w:val="正文呀2"/>
    <w:basedOn w:val="115"/>
    <w:qFormat/>
    <w:uiPriority w:val="0"/>
    <w:rPr>
      <w:rFonts w:ascii="Times New Roman" w:hAnsi="Times New Roman"/>
    </w:rPr>
  </w:style>
  <w:style w:type="paragraph" w:customStyle="1" w:styleId="115">
    <w:name w:val="正文呀"/>
    <w:basedOn w:val="1"/>
    <w:qFormat/>
    <w:uiPriority w:val="0"/>
    <w:pPr>
      <w:spacing w:line="420" w:lineRule="exact"/>
      <w:ind w:firstLine="420" w:firstLineChars="200"/>
    </w:pPr>
    <w:rPr>
      <w:rFonts w:ascii="宋体" w:hAnsi="宋体"/>
    </w:rPr>
  </w:style>
  <w:style w:type="paragraph" w:customStyle="1" w:styleId="116">
    <w:name w:val="_Style 2"/>
    <w:next w:val="1"/>
    <w:qFormat/>
    <w:uiPriority w:val="1"/>
    <w:rPr>
      <w:rFonts w:ascii="Times New Roman" w:hAnsi="Times New Roman" w:eastAsia="宋体" w:cs="Times New Roman"/>
      <w:sz w:val="22"/>
      <w:szCs w:val="22"/>
      <w:lang w:val="en-US" w:eastAsia="zh-CN" w:bidi="ar-SA"/>
    </w:rPr>
  </w:style>
  <w:style w:type="paragraph" w:customStyle="1" w:styleId="117">
    <w:name w:val="_Style 5"/>
    <w:qFormat/>
    <w:uiPriority w:val="1"/>
    <w:rPr>
      <w:rFonts w:ascii="Times New Roman" w:hAnsi="Times New Roman" w:eastAsia="宋体" w:cs="Times New Roman"/>
      <w:sz w:val="22"/>
      <w:szCs w:val="22"/>
      <w:lang w:val="en-US" w:eastAsia="zh-CN" w:bidi="ar-SA"/>
    </w:rPr>
  </w:style>
  <w:style w:type="paragraph" w:customStyle="1" w:styleId="118">
    <w:name w:val="无间隔"/>
    <w:qFormat/>
    <w:uiPriority w:val="0"/>
    <w:pPr>
      <w:widowControl w:val="0"/>
      <w:suppressAutoHyphens/>
      <w:jc w:val="both"/>
    </w:pPr>
    <w:rPr>
      <w:rFonts w:ascii="Times New Roman" w:hAnsi="Times New Roman" w:eastAsia="宋体" w:cs="Times New Roman"/>
      <w:kern w:val="2"/>
      <w:sz w:val="21"/>
      <w:szCs w:val="24"/>
      <w:lang w:val="en-US" w:eastAsia="zh-CN" w:bidi="ar-SA"/>
    </w:rPr>
  </w:style>
  <w:style w:type="paragraph" w:customStyle="1" w:styleId="119">
    <w:name w:val="正文_2"/>
    <w:qFormat/>
    <w:uiPriority w:val="0"/>
    <w:pPr>
      <w:widowControl w:val="0"/>
      <w:suppressAutoHyphens/>
      <w:jc w:val="both"/>
    </w:pPr>
    <w:rPr>
      <w:rFonts w:ascii="Times New Roman" w:hAnsi="Times New Roman" w:eastAsia="宋体" w:cs="Times New Roman"/>
      <w:kern w:val="2"/>
      <w:sz w:val="21"/>
      <w:szCs w:val="22"/>
      <w:lang w:val="en-US" w:eastAsia="zh-CN" w:bidi="ar-SA"/>
    </w:rPr>
  </w:style>
  <w:style w:type="paragraph" w:customStyle="1" w:styleId="120">
    <w:name w:val="正文_1_0"/>
    <w:qFormat/>
    <w:uiPriority w:val="0"/>
    <w:pPr>
      <w:widowControl w:val="0"/>
      <w:suppressAutoHyphens/>
      <w:jc w:val="both"/>
    </w:pPr>
    <w:rPr>
      <w:rFonts w:ascii="Times New Roman" w:hAnsi="Times New Roman" w:eastAsia="宋体" w:cs="Times New Roman"/>
      <w:kern w:val="2"/>
      <w:sz w:val="21"/>
      <w:lang w:val="en-US" w:eastAsia="zh-CN" w:bidi="ar-SA"/>
    </w:rPr>
  </w:style>
  <w:style w:type="paragraph" w:customStyle="1" w:styleId="121">
    <w:name w:val="正文_3"/>
    <w:qFormat/>
    <w:uiPriority w:val="0"/>
    <w:pPr>
      <w:widowControl w:val="0"/>
      <w:suppressAutoHyphens/>
      <w:jc w:val="both"/>
    </w:pPr>
    <w:rPr>
      <w:rFonts w:ascii="Calibri" w:hAnsi="Calibri" w:eastAsia="宋体" w:cs="Times New Roman"/>
      <w:kern w:val="2"/>
      <w:sz w:val="21"/>
      <w:szCs w:val="22"/>
      <w:lang w:val="en-US" w:eastAsia="zh-CN" w:bidi="ar-SA"/>
    </w:rPr>
  </w:style>
  <w:style w:type="paragraph" w:customStyle="1" w:styleId="122">
    <w:name w:val="TOC1"/>
    <w:basedOn w:val="1"/>
    <w:next w:val="1"/>
    <w:qFormat/>
    <w:uiPriority w:val="0"/>
    <w:pPr>
      <w:jc w:val="both"/>
      <w:textAlignment w:val="baseline"/>
    </w:pPr>
    <w:rPr>
      <w:rFonts w:ascii="Calibri" w:hAnsi="Calibri" w:eastAsia="宋体"/>
      <w:kern w:val="2"/>
      <w:sz w:val="21"/>
      <w:szCs w:val="22"/>
      <w:lang w:val="en-US" w:eastAsia="zh-CN" w:bidi="ar-SA"/>
    </w:rPr>
  </w:style>
  <w:style w:type="paragraph" w:customStyle="1" w:styleId="123">
    <w:name w:val="Table of contents|1"/>
    <w:basedOn w:val="1"/>
    <w:qFormat/>
    <w:uiPriority w:val="0"/>
    <w:pPr>
      <w:widowControl w:val="0"/>
      <w:shd w:val="clear" w:color="auto" w:fill="auto"/>
      <w:spacing w:line="474" w:lineRule="exact"/>
      <w:ind w:firstLine="500"/>
    </w:pPr>
    <w:rPr>
      <w:rFonts w:ascii="宋体" w:hAnsi="宋体" w:eastAsia="宋体" w:cs="宋体"/>
      <w:sz w:val="22"/>
      <w:szCs w:val="22"/>
      <w:u w:val="none"/>
      <w:shd w:val="clear" w:color="auto" w:fill="auto"/>
      <w:lang w:val="zh-TW" w:eastAsia="zh-TW" w:bidi="zh-TW"/>
    </w:rPr>
  </w:style>
  <w:style w:type="character" w:customStyle="1" w:styleId="124">
    <w:name w:val="标题 6 Char"/>
    <w:link w:val="7"/>
    <w:qFormat/>
    <w:uiPriority w:val="0"/>
    <w:rPr>
      <w:rFonts w:ascii="Arial" w:hAnsi="Arial" w:eastAsia="黑体"/>
      <w:b/>
      <w:bCs/>
      <w:kern w:val="2"/>
      <w:sz w:val="24"/>
      <w:szCs w:val="24"/>
      <w:lang w:val="en-US" w:eastAsia="zh-CN" w:bidi="ar-SA"/>
    </w:rPr>
  </w:style>
  <w:style w:type="character" w:customStyle="1" w:styleId="125">
    <w:name w:val="正文缩进 Char"/>
    <w:link w:val="4"/>
    <w:qFormat/>
    <w:locked/>
    <w:uiPriority w:val="0"/>
    <w:rPr>
      <w:rFonts w:eastAsia="宋体"/>
      <w:kern w:val="2"/>
      <w:sz w:val="21"/>
      <w:lang w:val="en-US" w:eastAsia="zh-CN" w:bidi="ar-SA"/>
    </w:rPr>
  </w:style>
  <w:style w:type="character" w:customStyle="1" w:styleId="126">
    <w:name w:val="文档结构图 Char"/>
    <w:link w:val="11"/>
    <w:qFormat/>
    <w:uiPriority w:val="0"/>
    <w:rPr>
      <w:rFonts w:ascii="宋体" w:hAnsi="Tahoma"/>
      <w:kern w:val="2"/>
      <w:sz w:val="18"/>
      <w:szCs w:val="18"/>
    </w:rPr>
  </w:style>
  <w:style w:type="character" w:customStyle="1" w:styleId="127">
    <w:name w:val="批注文字 Char"/>
    <w:link w:val="13"/>
    <w:qFormat/>
    <w:uiPriority w:val="0"/>
    <w:rPr>
      <w:rFonts w:eastAsia="宋体"/>
      <w:kern w:val="2"/>
      <w:sz w:val="21"/>
      <w:szCs w:val="24"/>
      <w:lang w:val="en-US" w:eastAsia="zh-CN" w:bidi="ar-SA"/>
    </w:rPr>
  </w:style>
  <w:style w:type="character" w:customStyle="1" w:styleId="128">
    <w:name w:val="正文文本缩进 Char1"/>
    <w:link w:val="16"/>
    <w:qFormat/>
    <w:uiPriority w:val="0"/>
    <w:rPr>
      <w:rFonts w:ascii="Tahoma" w:hAnsi="Tahoma"/>
      <w:kern w:val="2"/>
      <w:sz w:val="21"/>
      <w:szCs w:val="24"/>
    </w:rPr>
  </w:style>
  <w:style w:type="character" w:customStyle="1" w:styleId="129">
    <w:name w:val="纯文本 Char1"/>
    <w:link w:val="20"/>
    <w:qFormat/>
    <w:uiPriority w:val="0"/>
    <w:rPr>
      <w:rFonts w:ascii="宋体" w:hAnsi="Courier New" w:eastAsia="宋体"/>
      <w:kern w:val="2"/>
      <w:sz w:val="21"/>
      <w:szCs w:val="20"/>
      <w:lang w:val="en-US" w:eastAsia="zh-CN" w:bidi="ar-SA"/>
    </w:rPr>
  </w:style>
  <w:style w:type="character" w:customStyle="1" w:styleId="130">
    <w:name w:val="页脚 Char"/>
    <w:link w:val="24"/>
    <w:qFormat/>
    <w:uiPriority w:val="99"/>
    <w:rPr>
      <w:rFonts w:ascii="Tahoma" w:hAnsi="Tahoma"/>
      <w:kern w:val="2"/>
      <w:sz w:val="18"/>
      <w:szCs w:val="18"/>
    </w:rPr>
  </w:style>
  <w:style w:type="character" w:customStyle="1" w:styleId="131">
    <w:name w:val="页眉 Char"/>
    <w:link w:val="25"/>
    <w:qFormat/>
    <w:uiPriority w:val="99"/>
    <w:rPr>
      <w:rFonts w:ascii="Tahoma" w:hAnsi="Tahoma"/>
      <w:kern w:val="2"/>
      <w:sz w:val="18"/>
      <w:szCs w:val="18"/>
    </w:rPr>
  </w:style>
  <w:style w:type="character" w:customStyle="1" w:styleId="132">
    <w:name w:val="未处理的提及1"/>
    <w:unhideWhenUsed/>
    <w:qFormat/>
    <w:uiPriority w:val="99"/>
    <w:rPr>
      <w:rFonts w:ascii="Tahoma" w:hAnsi="Tahoma"/>
      <w:color w:val="808080"/>
      <w:sz w:val="24"/>
      <w:szCs w:val="20"/>
      <w:shd w:val="clear" w:color="auto" w:fill="E6E6E6"/>
    </w:rPr>
  </w:style>
  <w:style w:type="character" w:customStyle="1" w:styleId="133">
    <w:name w:val="qxdate"/>
    <w:qFormat/>
    <w:uiPriority w:val="0"/>
    <w:rPr>
      <w:color w:val="333333"/>
      <w:sz w:val="18"/>
      <w:szCs w:val="18"/>
    </w:rPr>
  </w:style>
  <w:style w:type="character" w:customStyle="1" w:styleId="134">
    <w:name w:val="font21"/>
    <w:qFormat/>
    <w:uiPriority w:val="0"/>
    <w:rPr>
      <w:rFonts w:hint="eastAsia" w:ascii="宋体" w:hAnsi="宋体" w:eastAsia="宋体" w:cs="宋体"/>
      <w:color w:val="000000"/>
      <w:sz w:val="22"/>
      <w:szCs w:val="22"/>
      <w:u w:val="none"/>
    </w:rPr>
  </w:style>
  <w:style w:type="character" w:customStyle="1" w:styleId="135">
    <w:name w:val="font122"/>
    <w:qFormat/>
    <w:uiPriority w:val="0"/>
    <w:rPr>
      <w:rFonts w:hint="eastAsia" w:ascii="宋体" w:hAnsi="宋体" w:eastAsia="宋体" w:cs="宋体"/>
      <w:color w:val="FF0000"/>
      <w:sz w:val="20"/>
      <w:szCs w:val="20"/>
      <w:u w:val="none"/>
    </w:rPr>
  </w:style>
  <w:style w:type="character" w:customStyle="1" w:styleId="136">
    <w:name w:val="纯文本 字符2"/>
    <w:qFormat/>
    <w:uiPriority w:val="0"/>
    <w:rPr>
      <w:rFonts w:ascii="宋体" w:hAnsi="Courier New" w:eastAsia="宋体"/>
      <w:kern w:val="2"/>
      <w:sz w:val="21"/>
      <w:lang w:val="en-US" w:eastAsia="zh-CN" w:bidi="ar-SA"/>
    </w:rPr>
  </w:style>
  <w:style w:type="character" w:customStyle="1" w:styleId="137">
    <w:name w:val="main12"/>
    <w:qFormat/>
    <w:uiPriority w:val="0"/>
    <w:rPr>
      <w:rFonts w:ascii="Arial" w:hAnsi="Arial" w:cs="Arial"/>
      <w:color w:val="000000"/>
      <w:sz w:val="18"/>
      <w:szCs w:val="18"/>
    </w:rPr>
  </w:style>
  <w:style w:type="character" w:customStyle="1" w:styleId="138">
    <w:name w:val="Char Char10"/>
    <w:qFormat/>
    <w:locked/>
    <w:uiPriority w:val="0"/>
    <w:rPr>
      <w:rFonts w:ascii="宋体" w:hAnsi="宋体" w:eastAsia="宋体"/>
      <w:kern w:val="2"/>
      <w:sz w:val="21"/>
      <w:szCs w:val="24"/>
      <w:lang w:val="en-US" w:eastAsia="zh-CN" w:bidi="ar-SA"/>
    </w:rPr>
  </w:style>
  <w:style w:type="character" w:customStyle="1" w:styleId="139">
    <w:name w:val="font61"/>
    <w:qFormat/>
    <w:uiPriority w:val="0"/>
    <w:rPr>
      <w:rFonts w:hint="eastAsia" w:ascii="宋体" w:hAnsi="宋体" w:eastAsia="宋体" w:cs="宋体"/>
      <w:color w:val="000000"/>
      <w:sz w:val="21"/>
      <w:szCs w:val="21"/>
      <w:u w:val="none"/>
    </w:rPr>
  </w:style>
  <w:style w:type="character" w:customStyle="1" w:styleId="140">
    <w:name w:val="无"/>
    <w:qFormat/>
    <w:uiPriority w:val="0"/>
  </w:style>
  <w:style w:type="character" w:customStyle="1" w:styleId="141">
    <w:name w:val="cfdate"/>
    <w:qFormat/>
    <w:uiPriority w:val="0"/>
    <w:rPr>
      <w:color w:val="333333"/>
      <w:sz w:val="18"/>
      <w:szCs w:val="18"/>
    </w:rPr>
  </w:style>
  <w:style w:type="character" w:customStyle="1" w:styleId="142">
    <w:name w:val="正文文本缩进 Char"/>
    <w:qFormat/>
    <w:uiPriority w:val="0"/>
    <w:rPr>
      <w:rFonts w:ascii="Times New Roman" w:hAnsi="Times New Roman" w:eastAsia="宋体" w:cs="Times New Roman"/>
      <w:kern w:val="2"/>
      <w:sz w:val="21"/>
      <w:szCs w:val="24"/>
    </w:rPr>
  </w:style>
  <w:style w:type="character" w:customStyle="1" w:styleId="143">
    <w:name w:val="正文缩进 Char1"/>
    <w:qFormat/>
    <w:locked/>
    <w:uiPriority w:val="0"/>
    <w:rPr>
      <w:rFonts w:eastAsia="宋体"/>
      <w:kern w:val="2"/>
      <w:sz w:val="21"/>
      <w:lang w:val="en-US" w:eastAsia="zh-CN" w:bidi="ar-SA"/>
    </w:rPr>
  </w:style>
  <w:style w:type="character" w:customStyle="1" w:styleId="144">
    <w:name w:val="apple-converted-space"/>
    <w:qFormat/>
    <w:uiPriority w:val="0"/>
  </w:style>
  <w:style w:type="character" w:customStyle="1" w:styleId="145">
    <w:name w:val="font31"/>
    <w:qFormat/>
    <w:uiPriority w:val="0"/>
    <w:rPr>
      <w:rFonts w:hint="eastAsia" w:ascii="宋体" w:hAnsi="宋体" w:eastAsia="宋体" w:cs="宋体"/>
      <w:color w:val="000000"/>
      <w:sz w:val="24"/>
      <w:szCs w:val="24"/>
      <w:u w:val="none"/>
    </w:rPr>
  </w:style>
  <w:style w:type="character" w:customStyle="1" w:styleId="146">
    <w:name w:val="font71"/>
    <w:qFormat/>
    <w:uiPriority w:val="0"/>
    <w:rPr>
      <w:rFonts w:hint="default" w:ascii="Times New Roman" w:hAnsi="Times New Roman" w:cs="Times New Roman"/>
      <w:color w:val="000000"/>
      <w:sz w:val="24"/>
      <w:szCs w:val="24"/>
      <w:u w:val="none"/>
    </w:rPr>
  </w:style>
  <w:style w:type="character" w:customStyle="1" w:styleId="147">
    <w:name w:val="纯文本 字符1"/>
    <w:qFormat/>
    <w:uiPriority w:val="0"/>
    <w:rPr>
      <w:rFonts w:ascii="Ђˎ̥" w:hAnsi="Verdana" w:eastAsia="Ђˎ̥" w:cs="Verdana"/>
      <w:szCs w:val="21"/>
    </w:rPr>
  </w:style>
  <w:style w:type="character" w:customStyle="1" w:styleId="148">
    <w:name w:val="列出段落 Char"/>
    <w:qFormat/>
    <w:locked/>
    <w:uiPriority w:val="34"/>
    <w:rPr>
      <w:rFonts w:ascii="Times New Roman" w:hAnsi="Times New Roman" w:eastAsia="宋体" w:cs="Times New Roman"/>
      <w:kern w:val="0"/>
      <w:sz w:val="24"/>
      <w:szCs w:val="20"/>
    </w:rPr>
  </w:style>
  <w:style w:type="character" w:customStyle="1" w:styleId="149">
    <w:name w:val="页脚 字符"/>
    <w:qFormat/>
    <w:uiPriority w:val="99"/>
  </w:style>
  <w:style w:type="character" w:customStyle="1" w:styleId="150">
    <w:name w:val="纯文本 字符"/>
    <w:qFormat/>
    <w:uiPriority w:val="0"/>
    <w:rPr>
      <w:rFonts w:ascii="宋体" w:hAnsi="Courier New" w:eastAsia="宋体" w:cs="Courier New"/>
      <w:szCs w:val="21"/>
    </w:rPr>
  </w:style>
  <w:style w:type="character" w:customStyle="1" w:styleId="151">
    <w:name w:val="fontstyle01"/>
    <w:qFormat/>
    <w:uiPriority w:val="0"/>
    <w:rPr>
      <w:rFonts w:hint="eastAsia" w:ascii="宋体" w:hAnsi="宋体" w:eastAsia="宋体"/>
      <w:color w:val="000000"/>
      <w:sz w:val="22"/>
      <w:szCs w:val="22"/>
    </w:rPr>
  </w:style>
  <w:style w:type="character" w:customStyle="1" w:styleId="152">
    <w:name w:val="redfilenumber"/>
    <w:qFormat/>
    <w:uiPriority w:val="0"/>
    <w:rPr>
      <w:color w:val="BA2636"/>
      <w:sz w:val="18"/>
      <w:szCs w:val="18"/>
    </w:rPr>
  </w:style>
  <w:style w:type="character" w:customStyle="1" w:styleId="153">
    <w:name w:val="gjfg"/>
    <w:qFormat/>
    <w:uiPriority w:val="0"/>
  </w:style>
  <w:style w:type="character" w:customStyle="1" w:styleId="154">
    <w:name w:val="纯文本 Char"/>
    <w:qFormat/>
    <w:uiPriority w:val="99"/>
    <w:rPr>
      <w:rFonts w:ascii="宋体" w:hAnsi="Courier New" w:eastAsia="宋体"/>
    </w:rPr>
  </w:style>
  <w:style w:type="character" w:customStyle="1" w:styleId="155">
    <w:name w:val="displayarti"/>
    <w:qFormat/>
    <w:uiPriority w:val="0"/>
    <w:rPr>
      <w:color w:val="FFFFFF"/>
      <w:shd w:val="clear" w:color="auto" w:fill="A00000"/>
    </w:rPr>
  </w:style>
  <w:style w:type="character" w:customStyle="1" w:styleId="156">
    <w:name w:val="Char Char1"/>
    <w:qFormat/>
    <w:uiPriority w:val="0"/>
    <w:rPr>
      <w:rFonts w:eastAsia="宋体"/>
      <w:kern w:val="2"/>
      <w:sz w:val="21"/>
      <w:szCs w:val="24"/>
      <w:lang w:val="en-US" w:eastAsia="zh-CN" w:bidi="ar-SA"/>
    </w:rPr>
  </w:style>
  <w:style w:type="character" w:customStyle="1" w:styleId="157">
    <w:name w:val="font01"/>
    <w:qFormat/>
    <w:uiPriority w:val="0"/>
    <w:rPr>
      <w:rFonts w:hint="eastAsia" w:ascii="宋体" w:hAnsi="宋体" w:eastAsia="宋体" w:cs="宋体"/>
      <w:color w:val="000000"/>
      <w:sz w:val="22"/>
      <w:szCs w:val="22"/>
      <w:u w:val="none"/>
    </w:rPr>
  </w:style>
  <w:style w:type="character" w:customStyle="1" w:styleId="158">
    <w:name w:val="列出段落 Char1"/>
    <w:link w:val="60"/>
    <w:qFormat/>
    <w:locked/>
    <w:uiPriority w:val="0"/>
    <w:rPr>
      <w:kern w:val="2"/>
      <w:sz w:val="21"/>
      <w:szCs w:val="24"/>
    </w:rPr>
  </w:style>
  <w:style w:type="character" w:customStyle="1" w:styleId="159">
    <w:name w:val="普通文字 Char Char5"/>
    <w:qFormat/>
    <w:uiPriority w:val="0"/>
    <w:rPr>
      <w:rFonts w:ascii="宋体" w:hAnsi="Courier New" w:eastAsia="宋体"/>
      <w:szCs w:val="21"/>
      <w:lang w:bidi="ar-SA"/>
    </w:rPr>
  </w:style>
  <w:style w:type="character" w:customStyle="1" w:styleId="160">
    <w:name w:val="标题 Char"/>
    <w:qFormat/>
    <w:uiPriority w:val="10"/>
    <w:rPr>
      <w:rFonts w:ascii="Calibri Light" w:hAnsi="Calibri Light" w:cs="Times New Roman"/>
      <w:b/>
      <w:bCs/>
      <w:kern w:val="2"/>
      <w:sz w:val="32"/>
      <w:szCs w:val="32"/>
    </w:rPr>
  </w:style>
  <w:style w:type="character" w:customStyle="1" w:styleId="161">
    <w:name w:val="font131"/>
    <w:qFormat/>
    <w:uiPriority w:val="0"/>
    <w:rPr>
      <w:rFonts w:hint="eastAsia" w:ascii="宋体" w:hAnsi="宋体" w:eastAsia="宋体" w:cs="宋体"/>
      <w:b/>
      <w:bCs/>
      <w:color w:val="FF0000"/>
      <w:sz w:val="18"/>
      <w:szCs w:val="18"/>
      <w:u w:val="none"/>
    </w:rPr>
  </w:style>
  <w:style w:type="character" w:customStyle="1" w:styleId="162">
    <w:name w:val="font121"/>
    <w:qFormat/>
    <w:uiPriority w:val="0"/>
    <w:rPr>
      <w:rFonts w:hint="eastAsia" w:ascii="宋体" w:hAnsi="宋体" w:eastAsia="宋体" w:cs="宋体"/>
      <w:b/>
      <w:color w:val="000000"/>
      <w:sz w:val="22"/>
      <w:szCs w:val="22"/>
      <w:u w:val="none"/>
    </w:rPr>
  </w:style>
  <w:style w:type="character" w:customStyle="1" w:styleId="163">
    <w:name w:val="redfilefwwh"/>
    <w:qFormat/>
    <w:uiPriority w:val="0"/>
    <w:rPr>
      <w:color w:val="BA2636"/>
      <w:sz w:val="18"/>
      <w:szCs w:val="18"/>
    </w:rPr>
  </w:style>
  <w:style w:type="character" w:customStyle="1" w:styleId="164">
    <w:name w:val="font41"/>
    <w:qFormat/>
    <w:uiPriority w:val="0"/>
    <w:rPr>
      <w:rFonts w:hint="eastAsia" w:ascii="宋体" w:hAnsi="宋体" w:eastAsia="宋体" w:cs="宋体"/>
      <w:color w:val="000000"/>
      <w:sz w:val="22"/>
      <w:szCs w:val="22"/>
      <w:u w:val="none"/>
    </w:rPr>
  </w:style>
  <w:style w:type="character" w:customStyle="1" w:styleId="165">
    <w:name w:val="c-icon30"/>
    <w:qFormat/>
    <w:uiPriority w:val="0"/>
  </w:style>
  <w:style w:type="character" w:customStyle="1" w:styleId="166">
    <w:name w:val="hover24"/>
    <w:qFormat/>
    <w:uiPriority w:val="0"/>
  </w:style>
  <w:style w:type="character" w:customStyle="1" w:styleId="167">
    <w:name w:val="hover25"/>
    <w:qFormat/>
    <w:uiPriority w:val="0"/>
    <w:rPr>
      <w:color w:val="315EFB"/>
    </w:rPr>
  </w:style>
  <w:style w:type="character" w:customStyle="1" w:styleId="168">
    <w:name w:val="hover26"/>
    <w:qFormat/>
    <w:uiPriority w:val="0"/>
    <w:rPr>
      <w:color w:val="315EFB"/>
    </w:rPr>
  </w:style>
  <w:style w:type="character" w:customStyle="1" w:styleId="169">
    <w:name w:val="hover27"/>
    <w:qFormat/>
    <w:uiPriority w:val="0"/>
    <w:rPr>
      <w:color w:val="315EFB"/>
      <w:shd w:val="clear" w:color="auto" w:fill="F0F3FD"/>
    </w:rPr>
  </w:style>
  <w:style w:type="character" w:customStyle="1" w:styleId="170">
    <w:name w:val="font11"/>
    <w:qFormat/>
    <w:uiPriority w:val="0"/>
    <w:rPr>
      <w:rFonts w:hint="eastAsia" w:ascii="宋体" w:hAnsi="宋体" w:eastAsia="宋体" w:cs="宋体"/>
      <w:color w:val="000000"/>
      <w:sz w:val="21"/>
      <w:szCs w:val="21"/>
      <w:u w:val="none"/>
    </w:rPr>
  </w:style>
  <w:style w:type="character" w:customStyle="1" w:styleId="171">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4689</Words>
  <Characters>4866</Characters>
  <Lines>252</Lines>
  <Paragraphs>71</Paragraphs>
  <TotalTime>49</TotalTime>
  <ScaleCrop>false</ScaleCrop>
  <LinksUpToDate>false</LinksUpToDate>
  <CharactersWithSpaces>4878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2022-07-11T08:18:00Z</dcterms:created>
  <dc:creator>微软用户</dc:creator>
  <cp:lastModifiedBy>张凯</cp:lastModifiedBy>
  <cp:lastPrinted>2024-09-06T07:59:00Z</cp:lastPrinted>
  <dcterms:modified xsi:type="dcterms:W3CDTF">2025-04-09T00:28:28Z</dcterms:modified>
  <dc:title>工程类公开招标文件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F4527C8148554268930EBAD68113C352_13</vt:lpwstr>
  </property>
  <property fmtid="{D5CDD505-2E9C-101B-9397-08002B2CF9AE}" pid="4" name="KSOTemplateDocerSaveRecord">
    <vt:lpwstr>eyJoZGlkIjoiN2FjMmUxOWI2NjViMzIxYjQ4OTQwODkyYzk0Mjg0YWIiLCJ1c2VySWQiOiI0NDk3OTkxMDMifQ==</vt:lpwstr>
  </property>
</Properties>
</file>