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89DFC">
      <w:pPr>
        <w:ind w:firstLine="200"/>
        <w:rPr>
          <w:rFonts w:hint="eastAsia" w:ascii="黑体" w:hAnsi="黑体" w:eastAsia="黑体" w:cs="宋体"/>
          <w:b/>
          <w:bCs/>
          <w:color w:val="auto"/>
          <w:sz w:val="24"/>
          <w:highlight w:val="none"/>
          <w:lang w:eastAsia="zh-CN"/>
        </w:rPr>
      </w:pPr>
      <w:r>
        <w:rPr>
          <w:rFonts w:hint="eastAsia" w:ascii="黑体" w:hAnsi="黑体" w:eastAsia="黑体" w:cs="宋体"/>
          <w:b/>
          <w:bCs/>
          <w:color w:val="auto"/>
          <w:sz w:val="24"/>
          <w:highlight w:val="none"/>
        </w:rPr>
        <w:t>评审标准</w:t>
      </w:r>
    </w:p>
    <w:p w14:paraId="3C411C3C">
      <w:pPr>
        <w:spacing w:line="360" w:lineRule="auto"/>
        <w:ind w:firstLine="420" w:firstLineChars="200"/>
        <w:rPr>
          <w:rFonts w:hint="eastAsia"/>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评审依据：磋商小组将以响应文件为评审依据，对供应商的报价、技术、商务等方面内容按百分制打分。（计分方法按四舍五入取至百分位）</w:t>
      </w:r>
    </w:p>
    <w:tbl>
      <w:tblPr>
        <w:tblStyle w:val="4"/>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62"/>
        <w:gridCol w:w="7297"/>
        <w:gridCol w:w="957"/>
      </w:tblGrid>
      <w:tr w14:paraId="30E3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357164D5">
            <w:pPr>
              <w:spacing w:line="400" w:lineRule="exact"/>
              <w:jc w:val="center"/>
              <w:rPr>
                <w:rFonts w:hint="eastAsia"/>
                <w:bCs/>
                <w:color w:val="auto"/>
                <w:szCs w:val="21"/>
                <w:highlight w:val="none"/>
              </w:rPr>
            </w:pPr>
            <w:r>
              <w:rPr>
                <w:rFonts w:hint="eastAsia"/>
                <w:bCs/>
                <w:color w:val="auto"/>
                <w:szCs w:val="21"/>
                <w:highlight w:val="none"/>
              </w:rPr>
              <w:t>序号</w:t>
            </w:r>
          </w:p>
        </w:tc>
        <w:tc>
          <w:tcPr>
            <w:tcW w:w="762" w:type="dxa"/>
            <w:noWrap w:val="0"/>
            <w:vAlign w:val="center"/>
          </w:tcPr>
          <w:p w14:paraId="6C73D56E">
            <w:pPr>
              <w:spacing w:line="400" w:lineRule="exact"/>
              <w:jc w:val="center"/>
              <w:rPr>
                <w:rFonts w:hint="eastAsia"/>
                <w:bCs/>
                <w:color w:val="auto"/>
                <w:szCs w:val="21"/>
                <w:highlight w:val="none"/>
              </w:rPr>
            </w:pPr>
            <w:r>
              <w:rPr>
                <w:rFonts w:hint="eastAsia"/>
                <w:bCs/>
                <w:color w:val="auto"/>
                <w:szCs w:val="21"/>
                <w:highlight w:val="none"/>
              </w:rPr>
              <w:t>评分类型</w:t>
            </w:r>
          </w:p>
        </w:tc>
        <w:tc>
          <w:tcPr>
            <w:tcW w:w="7297" w:type="dxa"/>
            <w:noWrap w:val="0"/>
            <w:vAlign w:val="center"/>
          </w:tcPr>
          <w:p w14:paraId="533E1056">
            <w:pPr>
              <w:spacing w:line="400" w:lineRule="exact"/>
              <w:jc w:val="center"/>
              <w:rPr>
                <w:rFonts w:hint="eastAsia"/>
                <w:bCs/>
                <w:color w:val="auto"/>
                <w:szCs w:val="21"/>
                <w:highlight w:val="none"/>
              </w:rPr>
            </w:pPr>
            <w:r>
              <w:rPr>
                <w:rFonts w:hint="eastAsia"/>
                <w:bCs/>
                <w:color w:val="auto"/>
                <w:szCs w:val="21"/>
                <w:highlight w:val="none"/>
              </w:rPr>
              <w:t>评分标准</w:t>
            </w:r>
          </w:p>
        </w:tc>
        <w:tc>
          <w:tcPr>
            <w:tcW w:w="957" w:type="dxa"/>
            <w:noWrap w:val="0"/>
            <w:vAlign w:val="center"/>
          </w:tcPr>
          <w:p w14:paraId="3D6498AC">
            <w:pPr>
              <w:spacing w:line="400" w:lineRule="exact"/>
              <w:jc w:val="center"/>
              <w:rPr>
                <w:rFonts w:hint="eastAsia"/>
                <w:bCs/>
                <w:color w:val="auto"/>
                <w:szCs w:val="21"/>
                <w:highlight w:val="none"/>
              </w:rPr>
            </w:pPr>
            <w:r>
              <w:rPr>
                <w:rFonts w:hint="eastAsia"/>
                <w:bCs/>
                <w:color w:val="auto"/>
                <w:szCs w:val="21"/>
                <w:highlight w:val="none"/>
              </w:rPr>
              <w:t>分值</w:t>
            </w:r>
          </w:p>
        </w:tc>
      </w:tr>
      <w:tr w14:paraId="36D1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3" w:type="dxa"/>
            <w:noWrap w:val="0"/>
            <w:vAlign w:val="center"/>
          </w:tcPr>
          <w:p w14:paraId="544EA62E">
            <w:pPr>
              <w:spacing w:line="400" w:lineRule="exact"/>
              <w:jc w:val="center"/>
              <w:rPr>
                <w:rFonts w:hint="eastAsia"/>
                <w:bCs/>
                <w:color w:val="auto"/>
                <w:szCs w:val="21"/>
                <w:highlight w:val="none"/>
              </w:rPr>
            </w:pPr>
            <w:r>
              <w:rPr>
                <w:rFonts w:hint="eastAsia" w:ascii="宋体" w:hAnsi="宋体" w:eastAsia="宋体" w:cs="宋体"/>
                <w:bCs/>
                <w:color w:val="auto"/>
                <w:szCs w:val="21"/>
                <w:highlight w:val="none"/>
              </w:rPr>
              <w:t>1</w:t>
            </w:r>
          </w:p>
        </w:tc>
        <w:tc>
          <w:tcPr>
            <w:tcW w:w="762" w:type="dxa"/>
            <w:noWrap w:val="0"/>
            <w:vAlign w:val="center"/>
          </w:tcPr>
          <w:p w14:paraId="63D51132">
            <w:pPr>
              <w:spacing w:line="400" w:lineRule="exact"/>
              <w:jc w:val="center"/>
              <w:rPr>
                <w:rFonts w:hint="eastAsia"/>
                <w:bCs/>
                <w:color w:val="auto"/>
                <w:szCs w:val="21"/>
                <w:highlight w:val="none"/>
              </w:rPr>
            </w:pPr>
            <w:r>
              <w:rPr>
                <w:rFonts w:hint="eastAsia"/>
                <w:bCs/>
                <w:color w:val="auto"/>
                <w:szCs w:val="21"/>
                <w:highlight w:val="none"/>
              </w:rPr>
              <w:t>报价</w:t>
            </w:r>
          </w:p>
        </w:tc>
        <w:tc>
          <w:tcPr>
            <w:tcW w:w="7297" w:type="dxa"/>
            <w:noWrap w:val="0"/>
            <w:vAlign w:val="top"/>
          </w:tcPr>
          <w:p w14:paraId="10BE718D">
            <w:pPr>
              <w:spacing w:line="400" w:lineRule="exact"/>
              <w:ind w:firstLine="420" w:firstLineChars="200"/>
              <w:rPr>
                <w:rFonts w:hint="eastAsia" w:ascii="宋体" w:hAnsi="宋体" w:eastAsia="宋体" w:cs="宋体"/>
              </w:rPr>
            </w:pPr>
            <w:r>
              <w:rPr>
                <w:rFonts w:hint="eastAsia" w:ascii="宋体" w:hAnsi="宋体" w:eastAsia="宋体" w:cs="宋体"/>
              </w:rPr>
              <w:t>价格分计算公式：</w:t>
            </w:r>
          </w:p>
          <w:p w14:paraId="6ACD351C">
            <w:pPr>
              <w:spacing w:line="400" w:lineRule="exact"/>
              <w:ind w:firstLine="420" w:firstLineChars="200"/>
              <w:rPr>
                <w:rFonts w:hint="eastAsia"/>
              </w:rPr>
            </w:pPr>
            <w:r>
              <w:rPr>
                <w:rFonts w:hint="eastAsia" w:ascii="宋体" w:hAnsi="宋体" w:eastAsia="宋体" w:cs="宋体"/>
              </w:rPr>
              <w:t>报价得分=（基准价/评审报价）×</w:t>
            </w:r>
            <w:r>
              <w:rPr>
                <w:rFonts w:hint="eastAsia" w:ascii="宋体" w:hAnsi="宋体" w:eastAsia="宋体" w:cs="宋体"/>
                <w:lang w:val="en-US" w:eastAsia="zh-CN"/>
              </w:rPr>
              <w:t>20</w:t>
            </w:r>
            <w:r>
              <w:rPr>
                <w:rFonts w:hint="eastAsia" w:ascii="宋体" w:hAnsi="宋体" w:eastAsia="宋体" w:cs="宋体"/>
              </w:rPr>
              <w:t>分</w:t>
            </w:r>
          </w:p>
        </w:tc>
        <w:tc>
          <w:tcPr>
            <w:tcW w:w="957" w:type="dxa"/>
            <w:noWrap w:val="0"/>
            <w:vAlign w:val="center"/>
          </w:tcPr>
          <w:p w14:paraId="5F3C1DF5">
            <w:pPr>
              <w:spacing w:line="400" w:lineRule="exact"/>
              <w:jc w:val="center"/>
              <w:rPr>
                <w:rFonts w:hint="eastAsia"/>
                <w:bCs/>
                <w:color w:val="auto"/>
                <w:szCs w:val="21"/>
                <w:highlight w:val="none"/>
              </w:rPr>
            </w:pPr>
            <w:r>
              <w:rPr>
                <w:rFonts w:hint="eastAsia" w:ascii="宋体" w:hAnsi="宋体" w:cs="Tahoma"/>
                <w:color w:val="000000"/>
                <w:kern w:val="0"/>
                <w:szCs w:val="21"/>
                <w:highlight w:val="none"/>
                <w:lang w:val="en-US" w:eastAsia="zh-CN"/>
              </w:rPr>
              <w:t xml:space="preserve"> 20</w:t>
            </w:r>
            <w:r>
              <w:rPr>
                <w:rFonts w:hint="eastAsia" w:ascii="宋体" w:hAnsi="宋体" w:cs="Tahoma"/>
                <w:color w:val="000000"/>
                <w:kern w:val="0"/>
                <w:szCs w:val="21"/>
                <w:highlight w:val="none"/>
              </w:rPr>
              <w:t>分</w:t>
            </w:r>
          </w:p>
        </w:tc>
      </w:tr>
      <w:tr w14:paraId="36A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002AF36A">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762" w:type="dxa"/>
            <w:noWrap w:val="0"/>
            <w:vAlign w:val="center"/>
          </w:tcPr>
          <w:p w14:paraId="4E16C481">
            <w:pPr>
              <w:spacing w:line="4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技术</w:t>
            </w:r>
            <w:r>
              <w:rPr>
                <w:rFonts w:hint="eastAsia" w:ascii="宋体" w:hAnsi="宋体" w:eastAsia="宋体" w:cs="宋体"/>
                <w:bCs/>
                <w:color w:val="auto"/>
                <w:szCs w:val="21"/>
                <w:highlight w:val="none"/>
                <w:lang w:eastAsia="zh-CN"/>
              </w:rPr>
              <w:t>分</w:t>
            </w:r>
          </w:p>
        </w:tc>
        <w:tc>
          <w:tcPr>
            <w:tcW w:w="7297" w:type="dxa"/>
            <w:noWrap w:val="0"/>
            <w:vAlign w:val="top"/>
          </w:tcPr>
          <w:p w14:paraId="63FA99A9">
            <w:pPr>
              <w:spacing w:line="400" w:lineRule="exact"/>
              <w:ind w:firstLine="422" w:firstLineChars="200"/>
              <w:jc w:val="left"/>
              <w:rPr>
                <w:rFonts w:hint="eastAsia" w:ascii="宋体" w:hAnsi="宋体" w:eastAsia="宋体" w:cs="宋体"/>
                <w:color w:val="auto"/>
                <w:szCs w:val="21"/>
              </w:rPr>
            </w:pPr>
            <w:r>
              <w:rPr>
                <w:rFonts w:hint="eastAsia" w:ascii="宋体" w:hAnsi="宋体" w:eastAsia="宋体" w:cs="宋体"/>
                <w:b/>
                <w:szCs w:val="21"/>
                <w:highlight w:val="none"/>
                <w:lang w:val="en-US" w:eastAsia="zh-CN"/>
              </w:rPr>
              <w:t>2.1</w:t>
            </w:r>
            <w:r>
              <w:rPr>
                <w:rFonts w:hint="eastAsia" w:ascii="宋体" w:hAnsi="宋体" w:eastAsia="宋体" w:cs="宋体"/>
                <w:b/>
                <w:szCs w:val="21"/>
                <w:highlight w:val="none"/>
                <w:lang w:eastAsia="zh-CN"/>
              </w:rPr>
              <w:t>项目实施方案分</w:t>
            </w:r>
            <w:r>
              <w:rPr>
                <w:rFonts w:hint="eastAsia" w:ascii="宋体" w:hAnsi="宋体" w:eastAsia="宋体" w:cs="宋体"/>
                <w:b/>
                <w:szCs w:val="21"/>
                <w:highlight w:val="none"/>
              </w:rPr>
              <w:t>（满分</w:t>
            </w:r>
            <w:r>
              <w:rPr>
                <w:rFonts w:hint="eastAsia" w:ascii="宋体" w:hAnsi="宋体" w:eastAsia="宋体" w:cs="宋体"/>
                <w:b/>
                <w:szCs w:val="21"/>
                <w:highlight w:val="none"/>
                <w:lang w:val="en-US" w:eastAsia="zh-CN"/>
              </w:rPr>
              <w:t>15</w:t>
            </w:r>
            <w:r>
              <w:rPr>
                <w:rFonts w:hint="eastAsia" w:ascii="宋体" w:hAnsi="宋体" w:eastAsia="宋体" w:cs="宋体"/>
                <w:b/>
                <w:szCs w:val="21"/>
                <w:highlight w:val="none"/>
              </w:rPr>
              <w:t>分）</w:t>
            </w:r>
            <w:r>
              <w:rPr>
                <w:rFonts w:hint="eastAsia" w:ascii="宋体" w:hAnsi="宋体" w:eastAsia="宋体" w:cs="宋体"/>
                <w:color w:val="auto"/>
                <w:szCs w:val="21"/>
              </w:rPr>
              <w:t>供应商针对本项目编制具体的整体项目实施方案（包括系统建设、人员分配、内部管控、用户培训计划、软件故障响应时间等方面），整体实施方案</w:t>
            </w:r>
            <w:r>
              <w:rPr>
                <w:rFonts w:hint="eastAsia" w:ascii="宋体" w:hAnsi="宋体" w:eastAsia="宋体" w:cs="宋体"/>
                <w:color w:val="auto"/>
                <w:szCs w:val="21"/>
                <w:lang w:val="en-US" w:eastAsia="zh-CN"/>
              </w:rPr>
              <w:t>有</w:t>
            </w:r>
            <w:r>
              <w:rPr>
                <w:rFonts w:hint="eastAsia" w:ascii="宋体" w:hAnsi="宋体" w:eastAsia="宋体" w:cs="宋体"/>
                <w:color w:val="auto"/>
                <w:szCs w:val="21"/>
              </w:rPr>
              <w:t>可行</w:t>
            </w:r>
            <w:r>
              <w:rPr>
                <w:rFonts w:hint="eastAsia" w:ascii="宋体" w:hAnsi="宋体" w:eastAsia="宋体" w:cs="宋体"/>
                <w:color w:val="auto"/>
                <w:szCs w:val="21"/>
                <w:lang w:val="en-US" w:eastAsia="zh-CN"/>
              </w:rPr>
              <w:t>性</w:t>
            </w:r>
            <w:r>
              <w:rPr>
                <w:rFonts w:hint="eastAsia" w:ascii="宋体" w:hAnsi="宋体" w:eastAsia="宋体" w:cs="宋体"/>
                <w:color w:val="auto"/>
                <w:szCs w:val="21"/>
              </w:rPr>
              <w:t>，对项目建设理解透彻，提供的系统技术方案包含全面，结构合理，可行性程度高。</w:t>
            </w:r>
          </w:p>
          <w:p w14:paraId="3E156702">
            <w:pPr>
              <w:spacing w:line="400" w:lineRule="exact"/>
              <w:ind w:firstLine="422" w:firstLineChars="200"/>
              <w:jc w:val="left"/>
              <w:rPr>
                <w:rFonts w:hint="eastAsia" w:ascii="宋体" w:hAnsi="宋体" w:eastAsia="宋体" w:cs="宋体"/>
                <w:b/>
                <w:bCs w:val="0"/>
                <w:kern w:val="2"/>
                <w:sz w:val="21"/>
              </w:rPr>
            </w:pPr>
            <w:r>
              <w:rPr>
                <w:rFonts w:hint="eastAsia" w:ascii="宋体" w:hAnsi="宋体" w:eastAsia="宋体" w:cs="宋体"/>
                <w:b/>
                <w:bCs w:val="0"/>
                <w:kern w:val="2"/>
                <w:sz w:val="21"/>
              </w:rPr>
              <w:t>一档 (5分)：</w:t>
            </w:r>
          </w:p>
          <w:p w14:paraId="48EC0BF5">
            <w:pPr>
              <w:spacing w:line="400" w:lineRule="exact"/>
              <w:ind w:firstLine="420" w:firstLineChars="200"/>
              <w:jc w:val="left"/>
              <w:rPr>
                <w:rFonts w:hint="eastAsia" w:ascii="宋体" w:hAnsi="宋体" w:eastAsia="宋体" w:cs="宋体"/>
                <w:bCs/>
                <w:color w:val="auto"/>
                <w:szCs w:val="21"/>
              </w:rPr>
            </w:pPr>
            <w:r>
              <w:rPr>
                <w:rFonts w:hint="eastAsia" w:ascii="宋体" w:hAnsi="宋体" w:eastAsia="宋体" w:cs="宋体"/>
                <w:bCs/>
                <w:kern w:val="2"/>
                <w:sz w:val="21"/>
                <w:szCs w:val="21"/>
                <w:lang w:val="en-US" w:eastAsia="zh-CN" w:bidi="ar-SA"/>
              </w:rPr>
              <w:t>对项目理解简单，技术方案（系统建设、人员分配、内部管控、用户培训计划、软件故障响应时间等方面)简单，有项目执行组织措施、项目执行保障措施，实施组织方案基本满足项目实施要求；</w:t>
            </w:r>
          </w:p>
          <w:p w14:paraId="4477EA08">
            <w:pPr>
              <w:spacing w:line="400" w:lineRule="exact"/>
              <w:ind w:firstLine="422" w:firstLineChars="200"/>
              <w:jc w:val="left"/>
              <w:rPr>
                <w:rFonts w:hint="eastAsia" w:ascii="宋体" w:hAnsi="宋体" w:eastAsia="宋体" w:cs="宋体"/>
                <w:b/>
                <w:bCs w:val="0"/>
                <w:kern w:val="2"/>
                <w:sz w:val="21"/>
              </w:rPr>
            </w:pPr>
            <w:r>
              <w:rPr>
                <w:rFonts w:hint="eastAsia" w:ascii="宋体" w:hAnsi="宋体" w:eastAsia="宋体" w:cs="宋体"/>
                <w:b/>
                <w:bCs w:val="0"/>
                <w:kern w:val="2"/>
                <w:sz w:val="21"/>
              </w:rPr>
              <w:t>二档 (10分)：</w:t>
            </w:r>
          </w:p>
          <w:p w14:paraId="2CE6043B">
            <w:pPr>
              <w:spacing w:line="400" w:lineRule="exact"/>
              <w:ind w:firstLine="422"/>
              <w:jc w:val="left"/>
              <w:rPr>
                <w:rFonts w:hint="eastAsia" w:ascii="宋体" w:hAnsi="宋体" w:eastAsia="宋体" w:cs="宋体"/>
                <w:sz w:val="21"/>
              </w:rPr>
            </w:pPr>
            <w:r>
              <w:rPr>
                <w:rFonts w:hint="eastAsia" w:ascii="宋体" w:hAnsi="宋体" w:eastAsia="宋体" w:cs="宋体"/>
                <w:bCs/>
                <w:kern w:val="2"/>
                <w:sz w:val="21"/>
                <w:lang w:eastAsia="zh-CN"/>
              </w:rPr>
              <w:t>在满足一档的情况下，</w:t>
            </w:r>
            <w:r>
              <w:rPr>
                <w:rFonts w:hint="eastAsia" w:ascii="宋体" w:hAnsi="宋体" w:eastAsia="宋体" w:cs="宋体"/>
                <w:bCs/>
                <w:kern w:val="2"/>
                <w:sz w:val="21"/>
              </w:rPr>
              <w:t>对项目实施有详细的了解，技术方案（系统建设、人员分配、内部管控、用户培训计划、软件故障响应时间等方面)较详细，项目执行组织措施、项目执行保障措施详细</w:t>
            </w:r>
            <w:r>
              <w:rPr>
                <w:rFonts w:hint="eastAsia" w:hAnsi="宋体" w:eastAsia="宋体" w:cs="宋体"/>
                <w:bCs/>
                <w:kern w:val="2"/>
                <w:sz w:val="21"/>
                <w:lang w:val="en-US" w:eastAsia="zh-CN"/>
              </w:rPr>
              <w:t>有</w:t>
            </w:r>
            <w:r>
              <w:rPr>
                <w:rFonts w:hint="eastAsia" w:ascii="宋体" w:hAnsi="宋体" w:eastAsia="宋体" w:cs="宋体"/>
                <w:bCs/>
                <w:kern w:val="2"/>
                <w:sz w:val="21"/>
              </w:rPr>
              <w:t>可行</w:t>
            </w:r>
            <w:r>
              <w:rPr>
                <w:rFonts w:hint="eastAsia" w:hAnsi="宋体" w:eastAsia="宋体" w:cs="宋体"/>
                <w:bCs/>
                <w:kern w:val="2"/>
                <w:sz w:val="21"/>
                <w:lang w:val="en-US" w:eastAsia="zh-CN"/>
              </w:rPr>
              <w:t>性</w:t>
            </w:r>
            <w:r>
              <w:rPr>
                <w:rFonts w:hint="eastAsia" w:ascii="宋体" w:hAnsi="宋体" w:eastAsia="宋体" w:cs="宋体"/>
                <w:bCs/>
                <w:kern w:val="2"/>
                <w:sz w:val="21"/>
              </w:rPr>
              <w:t>，方案资料</w:t>
            </w:r>
            <w:r>
              <w:rPr>
                <w:rFonts w:hint="eastAsia" w:hAnsi="宋体" w:eastAsia="宋体" w:cs="宋体"/>
                <w:bCs/>
                <w:kern w:val="2"/>
                <w:sz w:val="21"/>
                <w:lang w:val="en-US" w:eastAsia="zh-CN"/>
              </w:rPr>
              <w:t>完整</w:t>
            </w:r>
            <w:r>
              <w:rPr>
                <w:rFonts w:hint="eastAsia" w:ascii="宋体" w:hAnsi="宋体" w:eastAsia="宋体" w:cs="宋体"/>
                <w:bCs/>
                <w:kern w:val="2"/>
                <w:sz w:val="21"/>
              </w:rPr>
              <w:t>、实施组织方案较详细可行，能基本满足项目实施要求；</w:t>
            </w:r>
          </w:p>
          <w:p w14:paraId="06B186DC">
            <w:pPr>
              <w:spacing w:line="400" w:lineRule="exact"/>
              <w:ind w:firstLine="422" w:firstLineChars="200"/>
              <w:jc w:val="left"/>
              <w:rPr>
                <w:rFonts w:hint="eastAsia" w:ascii="宋体" w:hAnsi="宋体" w:eastAsia="宋体" w:cs="宋体"/>
                <w:bCs/>
                <w:kern w:val="2"/>
                <w:sz w:val="21"/>
              </w:rPr>
            </w:pPr>
            <w:r>
              <w:rPr>
                <w:rFonts w:hint="eastAsia" w:ascii="宋体" w:hAnsi="宋体" w:eastAsia="宋体" w:cs="宋体"/>
                <w:b/>
                <w:bCs w:val="0"/>
                <w:kern w:val="2"/>
                <w:sz w:val="21"/>
              </w:rPr>
              <w:t>三档 (1</w:t>
            </w:r>
            <w:r>
              <w:rPr>
                <w:rFonts w:hint="eastAsia" w:ascii="宋体" w:hAnsi="宋体" w:eastAsia="宋体" w:cs="宋体"/>
                <w:b/>
                <w:bCs w:val="0"/>
                <w:kern w:val="2"/>
                <w:sz w:val="21"/>
                <w:lang w:val="en-US" w:eastAsia="zh-CN"/>
              </w:rPr>
              <w:t>5</w:t>
            </w:r>
            <w:r>
              <w:rPr>
                <w:rFonts w:hint="eastAsia" w:ascii="宋体" w:hAnsi="宋体" w:eastAsia="宋体" w:cs="宋体"/>
                <w:b/>
                <w:bCs w:val="0"/>
                <w:kern w:val="2"/>
                <w:sz w:val="21"/>
              </w:rPr>
              <w:t>分)：</w:t>
            </w:r>
          </w:p>
          <w:p w14:paraId="30F294CC">
            <w:pPr>
              <w:spacing w:line="400" w:lineRule="exact"/>
              <w:ind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eastAsia="zh-CN"/>
              </w:rPr>
              <w:t>在满足二档的情况下，</w:t>
            </w:r>
            <w:r>
              <w:rPr>
                <w:rFonts w:hint="eastAsia" w:ascii="宋体" w:hAnsi="宋体" w:eastAsia="宋体" w:cs="宋体"/>
                <w:bCs/>
                <w:kern w:val="2"/>
                <w:sz w:val="21"/>
                <w:szCs w:val="21"/>
              </w:rPr>
              <w:t>项目理解到位，技术方案（包含系统建设、人员分配、内部管控等方面</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详细</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有针对性，组织机构健全，有项目组织机构图，详细说明各个阶段工作安排及进度，实施人员配备完备，项目执行组织措施、项目执行保障措施详细</w:t>
            </w:r>
            <w:r>
              <w:rPr>
                <w:rFonts w:hint="eastAsia" w:ascii="宋体" w:hAnsi="宋体" w:eastAsia="宋体" w:cs="宋体"/>
                <w:bCs/>
                <w:kern w:val="2"/>
                <w:sz w:val="21"/>
                <w:szCs w:val="21"/>
                <w:lang w:val="en-US" w:eastAsia="zh-CN"/>
              </w:rPr>
              <w:t>有</w:t>
            </w:r>
            <w:r>
              <w:rPr>
                <w:rFonts w:hint="eastAsia" w:ascii="宋体" w:hAnsi="宋体" w:eastAsia="宋体" w:cs="宋体"/>
                <w:bCs/>
                <w:kern w:val="2"/>
                <w:sz w:val="21"/>
                <w:szCs w:val="21"/>
              </w:rPr>
              <w:t>可行</w:t>
            </w:r>
            <w:r>
              <w:rPr>
                <w:rFonts w:hint="eastAsia" w:ascii="宋体" w:hAnsi="宋体" w:eastAsia="宋体" w:cs="宋体"/>
                <w:bCs/>
                <w:kern w:val="2"/>
                <w:sz w:val="21"/>
                <w:szCs w:val="21"/>
                <w:lang w:val="en-US" w:eastAsia="zh-CN"/>
              </w:rPr>
              <w:t>性</w:t>
            </w:r>
            <w:r>
              <w:rPr>
                <w:rFonts w:hint="eastAsia" w:ascii="宋体" w:hAnsi="宋体" w:eastAsia="宋体" w:cs="宋体"/>
                <w:bCs/>
                <w:kern w:val="2"/>
                <w:sz w:val="21"/>
                <w:szCs w:val="21"/>
              </w:rPr>
              <w:t>，熟悉项目流程及业务，方案资料</w:t>
            </w:r>
            <w:r>
              <w:rPr>
                <w:rFonts w:hint="eastAsia" w:ascii="宋体" w:hAnsi="宋体" w:eastAsia="宋体" w:cs="宋体"/>
                <w:bCs/>
                <w:kern w:val="2"/>
                <w:sz w:val="21"/>
                <w:szCs w:val="21"/>
                <w:lang w:val="en-US" w:eastAsia="zh-CN"/>
              </w:rPr>
              <w:t>完整</w:t>
            </w:r>
            <w:r>
              <w:rPr>
                <w:rFonts w:hint="eastAsia" w:ascii="宋体" w:hAnsi="宋体" w:eastAsia="宋体" w:cs="宋体"/>
                <w:bCs/>
                <w:kern w:val="2"/>
                <w:sz w:val="21"/>
                <w:szCs w:val="21"/>
              </w:rPr>
              <w:t>、实施组织方案具有针对性。</w:t>
            </w:r>
          </w:p>
          <w:p w14:paraId="109CEDDC">
            <w:pPr>
              <w:spacing w:line="400" w:lineRule="exact"/>
              <w:ind w:firstLine="420" w:firstLineChars="200"/>
              <w:jc w:val="left"/>
              <w:rPr>
                <w:rFonts w:hint="eastAsia" w:eastAsia="宋体"/>
                <w:lang w:eastAsia="zh-CN"/>
              </w:rPr>
            </w:pPr>
            <w:r>
              <w:rPr>
                <w:rFonts w:hint="eastAsia" w:ascii="宋体" w:hAnsi="宋体" w:eastAsia="宋体" w:cs="宋体"/>
                <w:bCs/>
                <w:kern w:val="2"/>
                <w:sz w:val="21"/>
                <w:szCs w:val="21"/>
                <w:lang w:eastAsia="zh-CN"/>
              </w:rPr>
              <w:t>注：未提供项目实施方案的不得分。</w:t>
            </w:r>
          </w:p>
          <w:p w14:paraId="3823B8CC">
            <w:pPr>
              <w:spacing w:line="400" w:lineRule="exact"/>
              <w:ind w:firstLine="422" w:firstLineChars="200"/>
              <w:jc w:val="left"/>
              <w:rPr>
                <w:rFonts w:hint="eastAsia" w:ascii="宋体" w:hAnsi="宋体" w:eastAsia="宋体" w:cs="宋体"/>
                <w:b/>
                <w:szCs w:val="21"/>
                <w:lang w:eastAsia="zh-CN"/>
              </w:rPr>
            </w:pPr>
            <w:r>
              <w:rPr>
                <w:rFonts w:hint="eastAsia" w:ascii="宋体" w:hAnsi="宋体" w:eastAsia="宋体" w:cs="宋体"/>
                <w:b/>
                <w:bCs w:val="0"/>
                <w:kern w:val="2"/>
                <w:sz w:val="21"/>
                <w:szCs w:val="21"/>
                <w:lang w:val="en-US" w:eastAsia="zh-CN"/>
              </w:rPr>
              <w:t>2.2</w:t>
            </w:r>
            <w:r>
              <w:rPr>
                <w:rFonts w:hint="eastAsia" w:ascii="宋体" w:hAnsi="宋体" w:eastAsia="宋体" w:cs="宋体"/>
                <w:b/>
                <w:szCs w:val="21"/>
                <w:lang w:eastAsia="zh-CN"/>
              </w:rPr>
              <w:t>配送服务方案分（满分</w:t>
            </w:r>
            <w:r>
              <w:rPr>
                <w:rFonts w:hint="eastAsia" w:ascii="宋体" w:hAnsi="宋体" w:eastAsia="宋体" w:cs="宋体"/>
                <w:b/>
                <w:szCs w:val="21"/>
                <w:lang w:val="en-US" w:eastAsia="zh-CN"/>
              </w:rPr>
              <w:t>12分</w:t>
            </w:r>
            <w:r>
              <w:rPr>
                <w:rFonts w:hint="eastAsia" w:ascii="宋体" w:hAnsi="宋体" w:eastAsia="宋体" w:cs="宋体"/>
                <w:b/>
                <w:szCs w:val="21"/>
                <w:lang w:eastAsia="zh-CN"/>
              </w:rPr>
              <w:t>）</w:t>
            </w:r>
          </w:p>
          <w:p w14:paraId="4AF2C76A">
            <w:pPr>
              <w:spacing w:line="400" w:lineRule="exact"/>
              <w:ind w:firstLine="422" w:firstLineChars="200"/>
              <w:jc w:val="left"/>
              <w:rPr>
                <w:rFonts w:hint="eastAsia" w:ascii="宋体" w:hAnsi="宋体" w:eastAsia="宋体" w:cs="宋体"/>
                <w:bCs/>
                <w:color w:val="auto"/>
                <w:szCs w:val="21"/>
                <w:lang w:val="en-US" w:eastAsia="zh-CN"/>
              </w:rPr>
            </w:pPr>
            <w:r>
              <w:rPr>
                <w:rFonts w:hint="eastAsia" w:ascii="宋体" w:hAnsi="宋体" w:eastAsia="宋体" w:cs="宋体"/>
                <w:b/>
                <w:bCs w:val="0"/>
                <w:color w:val="auto"/>
                <w:szCs w:val="21"/>
              </w:rPr>
              <w:t>一档（4分）：</w:t>
            </w:r>
            <w:r>
              <w:rPr>
                <w:rFonts w:hint="eastAsia" w:ascii="宋体" w:hAnsi="宋体" w:eastAsia="宋体" w:cs="宋体"/>
                <w:bCs/>
                <w:color w:val="auto"/>
                <w:szCs w:val="21"/>
              </w:rPr>
              <w:t>对项目总体</w:t>
            </w:r>
            <w:r>
              <w:rPr>
                <w:rFonts w:hint="eastAsia" w:ascii="宋体" w:hAnsi="宋体" w:eastAsia="宋体" w:cs="宋体"/>
                <w:bCs/>
                <w:color w:val="auto"/>
                <w:szCs w:val="21"/>
                <w:lang w:val="en-US" w:eastAsia="zh-CN"/>
              </w:rPr>
              <w:t>理解简单</w:t>
            </w:r>
            <w:r>
              <w:rPr>
                <w:rFonts w:hint="eastAsia" w:ascii="宋体" w:hAnsi="宋体" w:eastAsia="宋体" w:cs="宋体"/>
                <w:bCs/>
                <w:color w:val="auto"/>
                <w:szCs w:val="21"/>
              </w:rPr>
              <w:t>，配送计划、配送措施具体有效、针对性简单，熟悉、配送流程的方案</w:t>
            </w:r>
            <w:r>
              <w:rPr>
                <w:rFonts w:hint="eastAsia"/>
                <w:lang w:val="en-US" w:eastAsia="zh-CN"/>
              </w:rPr>
              <w:t>简单</w:t>
            </w:r>
            <w:r>
              <w:rPr>
                <w:rFonts w:hint="eastAsia" w:ascii="宋体" w:hAnsi="宋体" w:eastAsia="宋体" w:cs="宋体"/>
                <w:bCs/>
                <w:color w:val="auto"/>
                <w:szCs w:val="21"/>
                <w:lang w:eastAsia="zh-CN"/>
              </w:rPr>
              <w:t>，</w:t>
            </w:r>
            <w:r>
              <w:rPr>
                <w:rFonts w:hint="eastAsia" w:ascii="宋体" w:hAnsi="宋体" w:eastAsia="宋体" w:cs="宋体"/>
                <w:bCs/>
                <w:color w:val="auto"/>
                <w:szCs w:val="21"/>
              </w:rPr>
              <w:t>本项目的措施和计划</w:t>
            </w:r>
            <w:r>
              <w:rPr>
                <w:rFonts w:hint="eastAsia" w:ascii="宋体" w:hAnsi="宋体" w:eastAsia="宋体" w:cs="宋体"/>
                <w:bCs/>
                <w:color w:val="auto"/>
                <w:szCs w:val="21"/>
                <w:lang w:val="en-US" w:eastAsia="zh-CN"/>
              </w:rPr>
              <w:t>有</w:t>
            </w:r>
            <w:r>
              <w:rPr>
                <w:rFonts w:hint="eastAsia" w:ascii="宋体" w:hAnsi="宋体" w:eastAsia="宋体" w:cs="宋体"/>
                <w:bCs/>
                <w:color w:val="auto"/>
                <w:szCs w:val="21"/>
              </w:rPr>
              <w:t>可行性</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针对性；</w:t>
            </w:r>
            <w:r>
              <w:rPr>
                <w:rFonts w:hint="eastAsia" w:ascii="宋体" w:hAnsi="宋体" w:eastAsia="宋体" w:cs="宋体"/>
                <w:bCs/>
                <w:color w:val="auto"/>
                <w:szCs w:val="21"/>
                <w:lang w:val="en-US" w:eastAsia="zh-CN"/>
              </w:rPr>
              <w:t>整体</w:t>
            </w:r>
            <w:r>
              <w:rPr>
                <w:rFonts w:hint="eastAsia" w:ascii="宋体" w:hAnsi="宋体" w:eastAsia="宋体" w:cs="宋体"/>
                <w:bCs/>
                <w:color w:val="auto"/>
                <w:szCs w:val="21"/>
              </w:rPr>
              <w:t>方案</w:t>
            </w:r>
            <w:r>
              <w:rPr>
                <w:rFonts w:hint="eastAsia" w:ascii="宋体" w:hAnsi="宋体" w:eastAsia="宋体" w:cs="宋体"/>
                <w:bCs/>
                <w:color w:val="auto"/>
                <w:szCs w:val="21"/>
                <w:lang w:val="en-US" w:eastAsia="zh-CN"/>
              </w:rPr>
              <w:t>基本满足要求；</w:t>
            </w:r>
          </w:p>
          <w:p w14:paraId="759BEB28">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二档（8分）：</w:t>
            </w:r>
            <w:r>
              <w:rPr>
                <w:rFonts w:hint="eastAsia" w:ascii="宋体" w:hAnsi="宋体" w:eastAsia="宋体" w:cs="宋体"/>
                <w:bCs/>
                <w:color w:val="auto"/>
                <w:szCs w:val="21"/>
              </w:rPr>
              <w:t>在满足一档的情况下，配送方案详细、技术较成熟，有与现有状况无缝对接的具体方法，工作计划周密，实施组织机构健全，进度有保障、能详细说明各个阶段工作安排，有保障措施、进度控制制度、培训计划等、能提供合理的配送及验收方案，方案切合项目实际，方案</w:t>
            </w:r>
            <w:r>
              <w:rPr>
                <w:rFonts w:hint="eastAsia" w:ascii="宋体" w:hAnsi="宋体" w:eastAsia="宋体" w:cs="宋体"/>
                <w:bCs/>
                <w:color w:val="auto"/>
                <w:szCs w:val="21"/>
                <w:lang w:val="en-US" w:eastAsia="zh-CN"/>
              </w:rPr>
              <w:t>比较详细</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有</w:t>
            </w:r>
            <w:r>
              <w:rPr>
                <w:rFonts w:hint="eastAsia" w:ascii="宋体" w:hAnsi="宋体" w:eastAsia="宋体" w:cs="宋体"/>
                <w:bCs/>
                <w:color w:val="auto"/>
                <w:szCs w:val="21"/>
              </w:rPr>
              <w:t>针对性，可确保材料供应的品种、规格等各项需求。</w:t>
            </w:r>
          </w:p>
          <w:p w14:paraId="0AFE8905">
            <w:pPr>
              <w:spacing w:line="400" w:lineRule="exact"/>
              <w:ind w:firstLine="422" w:firstLineChars="200"/>
              <w:jc w:val="left"/>
              <w:rPr>
                <w:rFonts w:hint="eastAsia" w:ascii="宋体" w:hAnsi="宋体" w:eastAsia="宋体" w:cs="宋体"/>
                <w:spacing w:val="-1"/>
                <w:sz w:val="21"/>
                <w:szCs w:val="21"/>
                <w:lang w:eastAsia="zh-CN"/>
              </w:rPr>
            </w:pPr>
            <w:r>
              <w:rPr>
                <w:rFonts w:hint="eastAsia" w:ascii="宋体" w:hAnsi="宋体" w:eastAsia="宋体" w:cs="宋体"/>
                <w:b/>
                <w:bCs w:val="0"/>
                <w:color w:val="auto"/>
                <w:szCs w:val="21"/>
              </w:rPr>
              <w:t>三档（12分）：</w:t>
            </w:r>
            <w:r>
              <w:rPr>
                <w:rFonts w:hint="eastAsia" w:ascii="宋体" w:hAnsi="宋体" w:eastAsia="宋体" w:cs="宋体"/>
                <w:spacing w:val="-1"/>
                <w:sz w:val="21"/>
                <w:szCs w:val="21"/>
              </w:rPr>
              <w:t>在满足二档</w:t>
            </w:r>
            <w:r>
              <w:rPr>
                <w:rFonts w:hint="eastAsia" w:ascii="宋体" w:hAnsi="宋体" w:eastAsia="宋体" w:cs="宋体"/>
                <w:sz w:val="21"/>
                <w:szCs w:val="21"/>
              </w:rPr>
              <w:t>的情况下，为配合本项目中所涉及</w:t>
            </w:r>
            <w:r>
              <w:rPr>
                <w:rFonts w:hint="eastAsia" w:ascii="宋体" w:hAnsi="宋体" w:eastAsia="宋体" w:cs="宋体"/>
                <w:spacing w:val="-1"/>
                <w:sz w:val="21"/>
                <w:szCs w:val="21"/>
              </w:rPr>
              <w:t>建设的平台系统充分在后期与采</w:t>
            </w:r>
            <w:r>
              <w:rPr>
                <w:rFonts w:hint="eastAsia" w:ascii="宋体" w:hAnsi="宋体" w:eastAsia="宋体" w:cs="宋体"/>
                <w:spacing w:val="1"/>
                <w:sz w:val="21"/>
                <w:szCs w:val="21"/>
              </w:rPr>
              <w:t>购人“智慧医院”的药品及耗材系</w:t>
            </w:r>
            <w:r>
              <w:rPr>
                <w:rFonts w:hint="eastAsia" w:ascii="宋体" w:hAnsi="宋体" w:eastAsia="宋体" w:cs="宋体"/>
                <w:sz w:val="21"/>
                <w:szCs w:val="21"/>
              </w:rPr>
              <w:t>统框架融合，提高</w:t>
            </w:r>
            <w:r>
              <w:rPr>
                <w:rFonts w:hint="eastAsia" w:ascii="宋体" w:hAnsi="宋体" w:eastAsia="宋体" w:cs="宋体"/>
                <w:sz w:val="21"/>
                <w:szCs w:val="21"/>
                <w:lang w:val="en-US" w:eastAsia="zh-CN"/>
              </w:rPr>
              <w:t>采购人</w:t>
            </w:r>
            <w:r>
              <w:rPr>
                <w:rFonts w:hint="eastAsia" w:ascii="宋体" w:hAnsi="宋体" w:eastAsia="宋体" w:cs="宋体"/>
                <w:sz w:val="21"/>
                <w:szCs w:val="21"/>
              </w:rPr>
              <w:t>物资管理水</w:t>
            </w:r>
            <w:r>
              <w:rPr>
                <w:rFonts w:hint="eastAsia" w:ascii="宋体" w:hAnsi="宋体" w:eastAsia="宋体" w:cs="宋体"/>
                <w:spacing w:val="-1"/>
                <w:sz w:val="21"/>
                <w:szCs w:val="21"/>
              </w:rPr>
              <w:t>平，基于院内物资配送方式开展新</w:t>
            </w:r>
            <w:r>
              <w:rPr>
                <w:rFonts w:hint="eastAsia" w:ascii="宋体" w:hAnsi="宋体" w:eastAsia="宋体" w:cs="宋体"/>
                <w:spacing w:val="-5"/>
                <w:sz w:val="21"/>
                <w:szCs w:val="21"/>
              </w:rPr>
              <w:t>型应用成果转化条件，对</w:t>
            </w:r>
            <w:r>
              <w:rPr>
                <w:rFonts w:hint="eastAsia" w:ascii="宋体" w:hAnsi="宋体" w:eastAsia="宋体" w:cs="宋体"/>
                <w:spacing w:val="-5"/>
                <w:sz w:val="21"/>
                <w:szCs w:val="21"/>
                <w:lang w:eastAsia="zh-CN"/>
              </w:rPr>
              <w:t>供应</w:t>
            </w:r>
            <w:r>
              <w:rPr>
                <w:rFonts w:hint="eastAsia" w:ascii="宋体" w:hAnsi="宋体" w:eastAsia="宋体" w:cs="宋体"/>
                <w:spacing w:val="-5"/>
                <w:sz w:val="21"/>
                <w:szCs w:val="21"/>
              </w:rPr>
              <w:t>确保物资的充足性和有效性，提高应急响应的能力。有满足医院科室随</w:t>
            </w:r>
            <w:r>
              <w:rPr>
                <w:rFonts w:hint="eastAsia" w:ascii="宋体" w:hAnsi="宋体" w:eastAsia="宋体" w:cs="宋体"/>
                <w:spacing w:val="-1"/>
                <w:sz w:val="21"/>
                <w:szCs w:val="21"/>
              </w:rPr>
              <w:t>时及节假日领取物资(紧急物资应急物资)的需求措施</w:t>
            </w:r>
            <w:r>
              <w:rPr>
                <w:rFonts w:hint="eastAsia" w:ascii="宋体" w:hAnsi="宋体" w:eastAsia="宋体" w:cs="宋体"/>
                <w:spacing w:val="-1"/>
                <w:sz w:val="21"/>
                <w:szCs w:val="21"/>
                <w:lang w:eastAsia="zh-CN"/>
              </w:rPr>
              <w:t>。</w:t>
            </w:r>
          </w:p>
          <w:p w14:paraId="72A51175">
            <w:pPr>
              <w:spacing w:line="400" w:lineRule="exact"/>
              <w:ind w:firstLine="420" w:firstLineChars="200"/>
              <w:jc w:val="left"/>
              <w:rPr>
                <w:rFonts w:hint="eastAsia" w:eastAsia="宋体"/>
                <w:lang w:eastAsia="zh-CN"/>
              </w:rPr>
            </w:pPr>
            <w:r>
              <w:rPr>
                <w:rFonts w:hint="eastAsia" w:ascii="宋体" w:hAnsi="宋体" w:eastAsia="宋体" w:cs="宋体"/>
                <w:bCs/>
                <w:kern w:val="2"/>
                <w:sz w:val="21"/>
                <w:szCs w:val="21"/>
                <w:lang w:eastAsia="zh-CN"/>
              </w:rPr>
              <w:t>注：未提供配送服务方案的不得分。</w:t>
            </w:r>
          </w:p>
          <w:p w14:paraId="461C060A">
            <w:pPr>
              <w:pStyle w:val="2"/>
              <w:rPr>
                <w:rFonts w:hint="eastAsia"/>
                <w:lang w:eastAsia="zh-CN"/>
              </w:rPr>
            </w:pPr>
          </w:p>
          <w:p w14:paraId="65314E4A">
            <w:pPr>
              <w:spacing w:line="400" w:lineRule="exact"/>
              <w:ind w:firstLine="416" w:firstLineChars="200"/>
              <w:jc w:val="left"/>
              <w:rPr>
                <w:rFonts w:hint="eastAsia" w:ascii="宋体" w:hAnsi="宋体" w:eastAsia="宋体" w:cs="宋体"/>
                <w:b/>
                <w:bCs w:val="0"/>
                <w:sz w:val="21"/>
                <w:szCs w:val="21"/>
                <w:lang w:eastAsia="zh-CN"/>
              </w:rPr>
            </w:pPr>
            <w:r>
              <w:rPr>
                <w:rFonts w:hint="eastAsia" w:ascii="宋体" w:hAnsi="宋体" w:eastAsia="宋体" w:cs="宋体"/>
                <w:spacing w:val="-1"/>
                <w:sz w:val="21"/>
                <w:szCs w:val="21"/>
                <w:lang w:val="en-US" w:eastAsia="zh-CN"/>
              </w:rPr>
              <w:t>2.3</w:t>
            </w:r>
            <w:r>
              <w:rPr>
                <w:rFonts w:hint="eastAsia" w:ascii="宋体" w:hAnsi="宋体" w:eastAsia="宋体" w:cs="宋体"/>
                <w:b/>
                <w:sz w:val="21"/>
                <w:szCs w:val="21"/>
                <w:lang w:val="en-US" w:eastAsia="zh-CN"/>
              </w:rPr>
              <w:t>拟</w:t>
            </w:r>
            <w:r>
              <w:rPr>
                <w:rFonts w:hint="eastAsia" w:ascii="宋体" w:hAnsi="宋体" w:eastAsia="宋体" w:cs="宋体"/>
                <w:b/>
                <w:sz w:val="21"/>
                <w:szCs w:val="21"/>
                <w:lang w:eastAsia="zh-CN"/>
              </w:rPr>
              <w:t>投入软、硬件性能分（满分</w:t>
            </w:r>
            <w:r>
              <w:rPr>
                <w:rFonts w:hint="eastAsia" w:ascii="宋体" w:hAnsi="宋体" w:eastAsia="宋体" w:cs="宋体"/>
                <w:b/>
                <w:sz w:val="21"/>
                <w:szCs w:val="21"/>
                <w:lang w:val="en-US" w:eastAsia="zh-CN"/>
              </w:rPr>
              <w:t>14分</w:t>
            </w:r>
            <w:r>
              <w:rPr>
                <w:rFonts w:hint="eastAsia" w:ascii="宋体" w:hAnsi="宋体" w:eastAsia="宋体" w:cs="宋体"/>
                <w:b/>
                <w:bCs w:val="0"/>
                <w:sz w:val="21"/>
                <w:szCs w:val="21"/>
                <w:lang w:eastAsia="zh-CN"/>
              </w:rPr>
              <w:t>）</w:t>
            </w:r>
          </w:p>
          <w:p w14:paraId="0446C772">
            <w:pPr>
              <w:spacing w:line="400" w:lineRule="exact"/>
              <w:ind w:firstLine="422" w:firstLineChars="200"/>
              <w:jc w:val="left"/>
              <w:rPr>
                <w:rFonts w:hint="eastAsia" w:ascii="宋体" w:hAnsi="宋体" w:eastAsia="宋体" w:cs="宋体"/>
                <w:b/>
                <w:bCs w:val="0"/>
                <w:kern w:val="2"/>
                <w:sz w:val="21"/>
              </w:rPr>
            </w:pPr>
            <w:r>
              <w:rPr>
                <w:rFonts w:hint="eastAsia" w:ascii="宋体" w:hAnsi="宋体" w:eastAsia="宋体" w:cs="宋体"/>
                <w:b/>
                <w:bCs w:val="0"/>
                <w:kern w:val="2"/>
                <w:sz w:val="21"/>
              </w:rPr>
              <w:t>(1)软件系统的成熟度、扩展性(满分</w:t>
            </w:r>
            <w:r>
              <w:rPr>
                <w:rFonts w:hint="eastAsia" w:ascii="宋体" w:hAnsi="宋体" w:eastAsia="宋体" w:cs="宋体"/>
                <w:b/>
                <w:bCs w:val="0"/>
                <w:kern w:val="2"/>
                <w:sz w:val="21"/>
                <w:lang w:val="en-US" w:eastAsia="zh-CN"/>
              </w:rPr>
              <w:t>8</w:t>
            </w:r>
            <w:r>
              <w:rPr>
                <w:rFonts w:hint="eastAsia" w:ascii="宋体" w:hAnsi="宋体" w:eastAsia="宋体" w:cs="宋体"/>
                <w:b/>
                <w:bCs w:val="0"/>
                <w:kern w:val="2"/>
                <w:sz w:val="21"/>
              </w:rPr>
              <w:t>分)</w:t>
            </w:r>
          </w:p>
          <w:p w14:paraId="7F0620EB">
            <w:pPr>
              <w:spacing w:line="400" w:lineRule="exact"/>
              <w:ind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软件具备医院后勤信息化系统研发能力和持续性地进行产品研发能力，供应商自有的或采用的软件系统厂商授权的具有较为完整的医院产品软件产品并拥有自主知识版权，提供自有的或软件系统厂商授权的与医院本项目使用相关功能类似的SPD物资管理系统、固定资产管理系统、一站式服务中心管理系统、医院后勤信息化系统、智能调度运送管理等具有自主知识产权，每个得2分，满分8分（需在首次响应文件中提供相应的有效证明材料复印件并加盖</w:t>
            </w:r>
            <w:r>
              <w:rPr>
                <w:rFonts w:hint="eastAsia" w:hAnsi="宋体" w:eastAsia="宋体" w:cs="宋体"/>
                <w:bCs/>
                <w:kern w:val="2"/>
                <w:sz w:val="21"/>
                <w:szCs w:val="21"/>
                <w:lang w:val="en-US" w:eastAsia="zh-CN" w:bidi="ar-SA"/>
              </w:rPr>
              <w:t>供应商</w:t>
            </w:r>
            <w:r>
              <w:rPr>
                <w:rFonts w:hint="eastAsia" w:ascii="宋体" w:hAnsi="宋体" w:eastAsia="宋体" w:cs="宋体"/>
                <w:bCs/>
                <w:kern w:val="2"/>
                <w:sz w:val="21"/>
                <w:szCs w:val="21"/>
                <w:lang w:val="en-US" w:eastAsia="zh-CN" w:bidi="ar-SA"/>
              </w:rPr>
              <w:t>公章，否则不计分）。</w:t>
            </w:r>
          </w:p>
          <w:p w14:paraId="45331DB2">
            <w:pPr>
              <w:spacing w:line="400" w:lineRule="exact"/>
              <w:ind w:firstLine="422" w:firstLineChars="200"/>
              <w:jc w:val="left"/>
              <w:rPr>
                <w:rFonts w:hint="eastAsia" w:ascii="宋体" w:hAnsi="宋体" w:eastAsia="宋体" w:cs="宋体"/>
                <w:b/>
                <w:bCs w:val="0"/>
                <w:kern w:val="2"/>
                <w:sz w:val="21"/>
              </w:rPr>
            </w:pPr>
            <w:r>
              <w:rPr>
                <w:rFonts w:hint="eastAsia" w:ascii="宋体" w:hAnsi="宋体" w:eastAsia="宋体" w:cs="宋体"/>
                <w:b/>
                <w:bCs w:val="0"/>
                <w:kern w:val="2"/>
                <w:sz w:val="21"/>
                <w:lang w:eastAsia="zh-CN"/>
              </w:rPr>
              <w:t>（</w:t>
            </w:r>
            <w:r>
              <w:rPr>
                <w:rFonts w:hint="eastAsia" w:ascii="宋体" w:hAnsi="宋体" w:eastAsia="宋体" w:cs="宋体"/>
                <w:b/>
                <w:bCs w:val="0"/>
                <w:kern w:val="2"/>
                <w:sz w:val="21"/>
                <w:lang w:val="en-US" w:eastAsia="zh-CN"/>
              </w:rPr>
              <w:t>2</w:t>
            </w:r>
            <w:r>
              <w:rPr>
                <w:rFonts w:hint="eastAsia" w:ascii="宋体" w:hAnsi="宋体" w:eastAsia="宋体" w:cs="宋体"/>
                <w:b/>
                <w:bCs w:val="0"/>
                <w:kern w:val="2"/>
                <w:sz w:val="21"/>
                <w:lang w:eastAsia="zh-CN"/>
              </w:rPr>
              <w:t>）</w:t>
            </w:r>
            <w:r>
              <w:rPr>
                <w:rFonts w:hint="eastAsia" w:ascii="宋体" w:hAnsi="宋体" w:eastAsia="宋体" w:cs="宋体"/>
                <w:b/>
                <w:bCs w:val="0"/>
                <w:kern w:val="2"/>
                <w:sz w:val="21"/>
              </w:rPr>
              <w:t>性能分(</w:t>
            </w:r>
            <w:r>
              <w:rPr>
                <w:rFonts w:hint="eastAsia" w:ascii="宋体" w:hAnsi="宋体" w:eastAsia="宋体" w:cs="宋体"/>
                <w:b/>
                <w:bCs w:val="0"/>
                <w:kern w:val="2"/>
                <w:sz w:val="21"/>
                <w:lang w:val="en-US" w:eastAsia="zh-CN"/>
              </w:rPr>
              <w:t>6</w:t>
            </w:r>
            <w:r>
              <w:rPr>
                <w:rFonts w:hint="eastAsia" w:ascii="宋体" w:hAnsi="宋体" w:eastAsia="宋体" w:cs="宋体"/>
                <w:b/>
                <w:bCs w:val="0"/>
                <w:kern w:val="2"/>
                <w:sz w:val="21"/>
              </w:rPr>
              <w:t>分)</w:t>
            </w:r>
          </w:p>
          <w:p w14:paraId="2CBAC11B">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一档（</w:t>
            </w:r>
            <w:r>
              <w:rPr>
                <w:rFonts w:hint="eastAsia" w:ascii="宋体" w:hAnsi="宋体" w:eastAsia="宋体" w:cs="宋体"/>
                <w:b/>
                <w:bCs w:val="0"/>
                <w:color w:val="auto"/>
                <w:szCs w:val="21"/>
                <w:lang w:val="en-US" w:eastAsia="zh-CN"/>
              </w:rPr>
              <w:t>2</w:t>
            </w:r>
            <w:r>
              <w:rPr>
                <w:rFonts w:hint="eastAsia" w:ascii="宋体" w:hAnsi="宋体" w:eastAsia="宋体" w:cs="宋体"/>
                <w:b/>
                <w:bCs w:val="0"/>
                <w:color w:val="auto"/>
                <w:szCs w:val="21"/>
              </w:rPr>
              <w:t>分）：</w:t>
            </w:r>
            <w:r>
              <w:rPr>
                <w:rFonts w:hint="eastAsia" w:ascii="宋体" w:hAnsi="宋体" w:eastAsia="宋体" w:cs="宋体"/>
                <w:bCs/>
                <w:color w:val="auto"/>
                <w:szCs w:val="21"/>
              </w:rPr>
              <w:t>软件功能基本满足招标要求，各项功能介绍简单，操作界面流程不够直观。</w:t>
            </w:r>
          </w:p>
          <w:p w14:paraId="3B3A572B">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二档（</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rPr>
              <w:t>分）：</w:t>
            </w:r>
            <w:r>
              <w:rPr>
                <w:rFonts w:hint="eastAsia" w:ascii="宋体" w:hAnsi="宋体" w:eastAsia="宋体" w:cs="宋体"/>
                <w:bCs/>
                <w:color w:val="auto"/>
                <w:szCs w:val="21"/>
              </w:rPr>
              <w:t>在满足一档的情况下，软件功能满足招标要求，有较详细全面的功能介绍，操作较直观。</w:t>
            </w:r>
          </w:p>
          <w:p w14:paraId="31519AD9">
            <w:pPr>
              <w:spacing w:line="400" w:lineRule="exact"/>
              <w:ind w:firstLine="422" w:firstLineChars="200"/>
              <w:rPr>
                <w:rFonts w:hint="eastAsia" w:ascii="宋体" w:hAnsi="宋体" w:eastAsia="宋体" w:cs="宋体"/>
                <w:sz w:val="21"/>
                <w:szCs w:val="21"/>
              </w:rPr>
            </w:pPr>
            <w:r>
              <w:rPr>
                <w:rFonts w:hint="eastAsia" w:ascii="宋体" w:hAnsi="宋体" w:eastAsia="宋体" w:cs="宋体"/>
                <w:b/>
                <w:bCs w:val="0"/>
                <w:color w:val="auto"/>
                <w:sz w:val="21"/>
                <w:szCs w:val="21"/>
              </w:rPr>
              <w:t>三档（</w:t>
            </w:r>
            <w:r>
              <w:rPr>
                <w:rFonts w:hint="eastAsia" w:ascii="宋体" w:hAnsi="宋体" w:eastAsia="宋体" w:cs="宋体"/>
                <w:b/>
                <w:bCs w:val="0"/>
                <w:color w:val="auto"/>
                <w:sz w:val="21"/>
                <w:szCs w:val="21"/>
                <w:lang w:val="en-US" w:eastAsia="zh-CN"/>
              </w:rPr>
              <w:t>6</w:t>
            </w:r>
            <w:r>
              <w:rPr>
                <w:rFonts w:hint="eastAsia" w:ascii="宋体" w:hAnsi="宋体" w:eastAsia="宋体" w:cs="宋体"/>
                <w:b/>
                <w:bCs w:val="0"/>
                <w:color w:val="auto"/>
                <w:sz w:val="21"/>
                <w:szCs w:val="21"/>
              </w:rPr>
              <w:t>分）：</w:t>
            </w:r>
            <w:r>
              <w:rPr>
                <w:rFonts w:hint="eastAsia" w:ascii="宋体" w:hAnsi="宋体" w:eastAsia="宋体" w:cs="宋体"/>
                <w:spacing w:val="1"/>
                <w:sz w:val="21"/>
                <w:szCs w:val="21"/>
              </w:rPr>
              <w:t>在满足二档的</w:t>
            </w:r>
            <w:r>
              <w:rPr>
                <w:rFonts w:hint="eastAsia" w:ascii="宋体" w:hAnsi="宋体" w:eastAsia="宋体" w:cs="宋体"/>
                <w:spacing w:val="-2"/>
                <w:sz w:val="21"/>
                <w:szCs w:val="21"/>
              </w:rPr>
              <w:t>情况下，软件功能完全满足招标要</w:t>
            </w:r>
            <w:r>
              <w:rPr>
                <w:rFonts w:hint="eastAsia" w:ascii="宋体" w:hAnsi="宋体" w:eastAsia="宋体" w:cs="宋体"/>
                <w:sz w:val="21"/>
                <w:szCs w:val="21"/>
              </w:rPr>
              <w:t>求，有详细的功能介绍，具有</w:t>
            </w:r>
            <w:r>
              <w:rPr>
                <w:rFonts w:hint="eastAsia" w:ascii="宋体" w:hAnsi="宋体" w:eastAsia="宋体" w:cs="宋体"/>
                <w:spacing w:val="-2"/>
                <w:sz w:val="21"/>
                <w:szCs w:val="21"/>
              </w:rPr>
              <w:t>操作直观、简单易懂等优点。所</w:t>
            </w:r>
            <w:r>
              <w:rPr>
                <w:rFonts w:hint="eastAsia" w:cs="宋体"/>
                <w:spacing w:val="-2"/>
                <w:sz w:val="21"/>
                <w:szCs w:val="21"/>
                <w:lang w:val="en-US" w:eastAsia="zh-CN"/>
              </w:rPr>
              <w:t>提</w:t>
            </w:r>
            <w:r>
              <w:rPr>
                <w:rFonts w:hint="eastAsia" w:ascii="宋体" w:hAnsi="宋体" w:eastAsia="宋体" w:cs="宋体"/>
                <w:spacing w:val="-2"/>
                <w:sz w:val="21"/>
                <w:szCs w:val="21"/>
              </w:rPr>
              <w:t>供</w:t>
            </w:r>
            <w:r>
              <w:rPr>
                <w:rFonts w:hint="eastAsia"/>
                <w:lang w:val="en-US" w:eastAsia="zh-CN"/>
              </w:rPr>
              <w:t>的</w:t>
            </w:r>
            <w:r>
              <w:rPr>
                <w:rFonts w:hint="eastAsia" w:ascii="宋体" w:hAnsi="宋体" w:eastAsia="宋体" w:cs="宋体"/>
                <w:spacing w:val="2"/>
                <w:sz w:val="21"/>
                <w:szCs w:val="21"/>
              </w:rPr>
              <w:t>软件在运行的物资供应链项目中，</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有过与医院相关系统合作对接成</w:t>
            </w:r>
            <w:r>
              <w:rPr>
                <w:rFonts w:hint="eastAsia" w:ascii="宋体" w:hAnsi="宋体" w:eastAsia="宋体" w:cs="宋体"/>
                <w:sz w:val="21"/>
                <w:szCs w:val="21"/>
              </w:rPr>
              <w:t>功案例的，提供设计方案和自身系</w:t>
            </w:r>
            <w:r>
              <w:rPr>
                <w:rFonts w:hint="eastAsia" w:ascii="宋体" w:hAnsi="宋体" w:eastAsia="宋体" w:cs="宋体"/>
                <w:spacing w:val="-1"/>
                <w:sz w:val="21"/>
                <w:szCs w:val="21"/>
              </w:rPr>
              <w:t>统接口协议。</w:t>
            </w:r>
          </w:p>
          <w:p w14:paraId="108C8C87">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bCs/>
                <w:kern w:val="2"/>
                <w:sz w:val="21"/>
                <w:szCs w:val="21"/>
                <w:lang w:val="en-US" w:eastAsia="zh-CN" w:bidi="ar-SA"/>
              </w:rPr>
              <w:t>需在首次响应文件中</w:t>
            </w:r>
            <w:r>
              <w:rPr>
                <w:rFonts w:hint="eastAsia" w:ascii="宋体" w:hAnsi="宋体" w:eastAsia="宋体" w:cs="宋体"/>
                <w:sz w:val="21"/>
                <w:szCs w:val="21"/>
              </w:rPr>
              <w:t>提供具体平台系统功能</w:t>
            </w:r>
            <w:r>
              <w:rPr>
                <w:rFonts w:hint="eastAsia" w:ascii="宋体" w:hAnsi="宋体" w:eastAsia="宋体" w:cs="宋体"/>
                <w:spacing w:val="1"/>
                <w:sz w:val="21"/>
                <w:szCs w:val="21"/>
              </w:rPr>
              <w:t>截图并加盖</w:t>
            </w:r>
            <w:r>
              <w:rPr>
                <w:rFonts w:hint="eastAsia" w:ascii="宋体" w:hAnsi="宋体" w:eastAsia="宋体" w:cs="宋体"/>
                <w:spacing w:val="1"/>
                <w:sz w:val="21"/>
                <w:szCs w:val="21"/>
                <w:lang w:val="en-US" w:eastAsia="zh-CN"/>
              </w:rPr>
              <w:t>供应商</w:t>
            </w:r>
            <w:r>
              <w:rPr>
                <w:rFonts w:hint="eastAsia" w:ascii="宋体" w:hAnsi="宋体" w:eastAsia="宋体" w:cs="宋体"/>
                <w:spacing w:val="1"/>
                <w:sz w:val="21"/>
                <w:szCs w:val="21"/>
              </w:rPr>
              <w:t>公章，否则不得</w:t>
            </w:r>
            <w:r>
              <w:rPr>
                <w:rFonts w:hint="eastAsia" w:ascii="宋体" w:hAnsi="宋体" w:eastAsia="宋体" w:cs="宋体"/>
                <w:sz w:val="21"/>
                <w:szCs w:val="21"/>
              </w:rPr>
              <w:t>分)。</w:t>
            </w:r>
          </w:p>
          <w:p w14:paraId="054D336F">
            <w:pPr>
              <w:spacing w:line="400" w:lineRule="exact"/>
              <w:ind w:firstLine="422" w:firstLineChars="20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2.4拟投入人员配备（满分6分）</w:t>
            </w:r>
          </w:p>
          <w:p w14:paraId="01D76882">
            <w:pPr>
              <w:spacing w:line="400" w:lineRule="exact"/>
              <w:ind w:firstLine="420" w:firstLineChars="200"/>
              <w:jc w:val="left"/>
              <w:rPr>
                <w:rFonts w:hint="eastAsia" w:ascii="宋体" w:hAnsi="宋体" w:eastAsia="宋体" w:cs="宋体"/>
                <w:color w:val="auto"/>
                <w:szCs w:val="21"/>
                <w:lang w:val="en-US" w:eastAsia="zh-CN"/>
              </w:rPr>
            </w:pPr>
            <w:r>
              <w:rPr>
                <w:rFonts w:hint="eastAsia"/>
                <w:lang w:val="en-US" w:eastAsia="zh-CN"/>
              </w:rPr>
              <w:t>在满足采购需求的基本人员要求后</w:t>
            </w:r>
          </w:p>
          <w:p w14:paraId="12032817">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供应商</w:t>
            </w:r>
            <w:r>
              <w:rPr>
                <w:rFonts w:hint="eastAsia" w:ascii="宋体" w:hAnsi="宋体" w:eastAsia="宋体" w:cs="宋体"/>
                <w:color w:val="auto"/>
                <w:szCs w:val="21"/>
              </w:rPr>
              <w:t>拟投入的软件技术团队人员具有国家网络安全审查技术与认证中心（CCRC）信息安全保障人员认证的，每有1人得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分，满分2分； </w:t>
            </w:r>
          </w:p>
          <w:p w14:paraId="092BC174">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具有信息系统项目管理师（高级）认证的，得2分，满分2分；</w:t>
            </w:r>
          </w:p>
          <w:p w14:paraId="5275935A">
            <w:pPr>
              <w:spacing w:line="40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shd w:val="clear" w:color="auto" w:fill="auto"/>
                <w:lang w:val="en-US" w:eastAsia="zh-CN"/>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eastAsia="zh-CN"/>
              </w:rPr>
              <w:t>供应商</w:t>
            </w:r>
            <w:r>
              <w:rPr>
                <w:rFonts w:hint="eastAsia" w:ascii="宋体" w:hAnsi="宋体" w:eastAsia="宋体" w:cs="宋体"/>
                <w:color w:val="auto"/>
                <w:szCs w:val="21"/>
                <w:highlight w:val="none"/>
                <w:shd w:val="clear" w:color="auto" w:fill="auto"/>
              </w:rPr>
              <w:t>在满足</w:t>
            </w:r>
            <w:r>
              <w:rPr>
                <w:rFonts w:hint="eastAsia" w:ascii="宋体" w:hAnsi="宋体" w:eastAsia="宋体" w:cs="宋体"/>
                <w:color w:val="auto"/>
                <w:szCs w:val="21"/>
                <w:highlight w:val="none"/>
                <w:shd w:val="clear" w:color="auto" w:fill="auto"/>
                <w:lang w:val="en-US" w:eastAsia="zh-CN"/>
              </w:rPr>
              <w:t>竞争性磋商</w:t>
            </w:r>
            <w:r>
              <w:rPr>
                <w:rFonts w:hint="eastAsia" w:ascii="宋体" w:hAnsi="宋体" w:eastAsia="宋体" w:cs="宋体"/>
                <w:color w:val="auto"/>
                <w:szCs w:val="21"/>
                <w:highlight w:val="none"/>
                <w:shd w:val="clear" w:color="auto" w:fill="auto"/>
              </w:rPr>
              <w:t>文件配置人员的基础上，供应商拟投入的数量人员：</w:t>
            </w:r>
            <w:r>
              <w:rPr>
                <w:rFonts w:hint="eastAsia" w:ascii="宋体" w:hAnsi="宋体" w:eastAsia="宋体" w:cs="宋体"/>
                <w:color w:val="auto"/>
                <w:szCs w:val="21"/>
                <w:highlight w:val="none"/>
                <w:shd w:val="clear" w:color="auto" w:fill="auto"/>
                <w:lang w:val="en-US" w:eastAsia="zh-CN"/>
              </w:rPr>
              <w:t>提供配送人员，多1个人得1分，满分2分。</w:t>
            </w:r>
          </w:p>
          <w:p w14:paraId="66A846D5">
            <w:pPr>
              <w:spacing w:line="400" w:lineRule="exact"/>
              <w:ind w:firstLine="420" w:firstLineChars="200"/>
              <w:jc w:val="left"/>
              <w:rPr>
                <w:rFonts w:hint="eastAsia" w:ascii="宋体" w:hAnsi="宋体" w:eastAsia="宋体" w:cs="宋体"/>
                <w:b/>
                <w:bCs/>
                <w:color w:val="auto"/>
                <w:szCs w:val="21"/>
                <w:lang w:val="en-US" w:eastAsia="zh-CN"/>
              </w:rPr>
            </w:pPr>
            <w:r>
              <w:rPr>
                <w:rFonts w:hint="eastAsia" w:ascii="宋体" w:hAnsi="宋体" w:eastAsia="宋体" w:cs="宋体"/>
                <w:bCs/>
                <w:kern w:val="2"/>
                <w:sz w:val="21"/>
                <w:szCs w:val="21"/>
                <w:lang w:val="en-US" w:eastAsia="zh-CN" w:bidi="ar-SA"/>
              </w:rPr>
              <w:t>（注：需在首次响应文件中提供相应的有效证明材料复印件并加盖</w:t>
            </w:r>
            <w:r>
              <w:rPr>
                <w:rFonts w:hint="eastAsia" w:hAnsi="宋体" w:eastAsia="宋体" w:cs="宋体"/>
                <w:bCs/>
                <w:kern w:val="2"/>
                <w:sz w:val="21"/>
                <w:szCs w:val="21"/>
                <w:lang w:val="en-US" w:eastAsia="zh-CN" w:bidi="ar-SA"/>
              </w:rPr>
              <w:t>供应商</w:t>
            </w:r>
            <w:r>
              <w:rPr>
                <w:rFonts w:hint="eastAsia" w:ascii="宋体" w:hAnsi="宋体" w:eastAsia="宋体" w:cs="宋体"/>
                <w:bCs/>
                <w:kern w:val="2"/>
                <w:sz w:val="21"/>
                <w:szCs w:val="21"/>
                <w:lang w:val="en-US" w:eastAsia="zh-CN" w:bidi="ar-SA"/>
              </w:rPr>
              <w:t>公章，否则不计分）。</w:t>
            </w:r>
          </w:p>
          <w:p w14:paraId="3288BBF0">
            <w:pPr>
              <w:spacing w:line="400" w:lineRule="exact"/>
              <w:ind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2.5</w:t>
            </w:r>
            <w:r>
              <w:rPr>
                <w:rFonts w:hint="eastAsia" w:ascii="宋体" w:hAnsi="宋体" w:eastAsia="宋体" w:cs="宋体"/>
                <w:b/>
                <w:bCs/>
                <w:color w:val="auto"/>
                <w:szCs w:val="21"/>
              </w:rPr>
              <w:t>售后服务方案分（</w:t>
            </w:r>
            <w:r>
              <w:rPr>
                <w:rFonts w:hint="eastAsia" w:ascii="宋体" w:hAnsi="宋体" w:eastAsia="宋体" w:cs="宋体"/>
                <w:b/>
                <w:bCs/>
                <w:color w:val="auto"/>
                <w:szCs w:val="21"/>
                <w:lang w:val="en-US" w:eastAsia="zh-CN"/>
              </w:rPr>
              <w:t>满分12</w:t>
            </w:r>
            <w:r>
              <w:rPr>
                <w:rFonts w:hint="eastAsia" w:ascii="宋体" w:hAnsi="宋体" w:eastAsia="宋体" w:cs="宋体"/>
                <w:b/>
                <w:bCs/>
                <w:color w:val="auto"/>
                <w:szCs w:val="21"/>
              </w:rPr>
              <w:t>分）</w:t>
            </w:r>
          </w:p>
          <w:p w14:paraId="2B7DA380">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由评委根据供应商提供的售后服务方案内容的完整性、可行性，到达质量现场时间、质量问题出现解决方案、质保期、本地化售后服务措施、其他优惠措施等方面进行评定。</w:t>
            </w:r>
          </w:p>
          <w:p w14:paraId="31D32F3D">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一档 (</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rPr>
              <w:t>分)：</w:t>
            </w:r>
            <w:r>
              <w:rPr>
                <w:rFonts w:hint="eastAsia" w:ascii="宋体" w:hAnsi="宋体" w:eastAsia="宋体" w:cs="宋体"/>
                <w:bCs/>
                <w:color w:val="auto"/>
                <w:szCs w:val="21"/>
              </w:rPr>
              <w:t>售后服务方案描述较简单，</w:t>
            </w:r>
            <w:r>
              <w:rPr>
                <w:rFonts w:hint="eastAsia" w:ascii="宋体" w:hAnsi="宋体" w:eastAsia="宋体" w:cs="宋体"/>
                <w:bCs/>
                <w:color w:val="auto"/>
                <w:szCs w:val="21"/>
                <w:lang w:val="en-US" w:eastAsia="zh-CN"/>
              </w:rPr>
              <w:t>有</w:t>
            </w:r>
            <w:r>
              <w:rPr>
                <w:rFonts w:hint="eastAsia" w:ascii="宋体" w:hAnsi="宋体" w:eastAsia="宋体" w:cs="宋体"/>
                <w:bCs/>
                <w:color w:val="auto"/>
                <w:szCs w:val="21"/>
              </w:rPr>
              <w:t>可行性；</w:t>
            </w:r>
          </w:p>
          <w:p w14:paraId="0172EA39">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二档 (</w:t>
            </w: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分)：</w:t>
            </w:r>
            <w:r>
              <w:rPr>
                <w:rFonts w:hint="eastAsia" w:ascii="宋体" w:hAnsi="宋体" w:eastAsia="宋体" w:cs="宋体"/>
                <w:bCs/>
                <w:color w:val="auto"/>
                <w:szCs w:val="21"/>
              </w:rPr>
              <w:t>满足项目要求，售后服务承诺明确、可行，并提供有基本可行的保证措施及应急预案措施、售后方案、质保期；售后服务明确响应时间、明确出现质量问题解决时间(运营第一至第三个月，0.5小时内响应，</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小时内到达现场处理故障；运营第四个月开始，0.5小时内响应，2小时内到达现场处理故障)；</w:t>
            </w:r>
          </w:p>
          <w:p w14:paraId="5979BF24">
            <w:pPr>
              <w:spacing w:line="400" w:lineRule="exact"/>
              <w:ind w:firstLine="422" w:firstLineChars="200"/>
              <w:jc w:val="left"/>
              <w:rPr>
                <w:rFonts w:hint="eastAsia" w:ascii="宋体" w:hAnsi="宋体" w:eastAsia="宋体" w:cs="宋体"/>
                <w:bCs/>
                <w:color w:val="auto"/>
                <w:szCs w:val="21"/>
              </w:rPr>
            </w:pPr>
            <w:r>
              <w:rPr>
                <w:rFonts w:hint="eastAsia" w:ascii="宋体" w:hAnsi="宋体" w:eastAsia="宋体" w:cs="宋体"/>
                <w:b/>
                <w:bCs w:val="0"/>
                <w:color w:val="auto"/>
                <w:szCs w:val="21"/>
              </w:rPr>
              <w:t>三档 (</w:t>
            </w:r>
            <w:r>
              <w:rPr>
                <w:rFonts w:hint="eastAsia" w:ascii="宋体" w:hAnsi="宋体" w:eastAsia="宋体" w:cs="宋体"/>
                <w:b/>
                <w:bCs w:val="0"/>
                <w:color w:val="auto"/>
                <w:szCs w:val="21"/>
                <w:lang w:val="en-US" w:eastAsia="zh-CN"/>
              </w:rPr>
              <w:t>12</w:t>
            </w:r>
            <w:r>
              <w:rPr>
                <w:rFonts w:hint="eastAsia" w:ascii="宋体" w:hAnsi="宋体" w:eastAsia="宋体" w:cs="宋体"/>
                <w:b/>
                <w:bCs w:val="0"/>
                <w:color w:val="auto"/>
                <w:szCs w:val="21"/>
              </w:rPr>
              <w:t>分)：</w:t>
            </w:r>
            <w:r>
              <w:rPr>
                <w:rFonts w:hint="eastAsia" w:ascii="宋体" w:hAnsi="宋体" w:eastAsia="宋体" w:cs="宋体"/>
                <w:bCs/>
                <w:color w:val="auto"/>
                <w:szCs w:val="21"/>
              </w:rPr>
              <w:t>完全满足项目要求，售后服务承诺明确、完全可行、并提供有详细的保证措施及应急预案措施、售后方案，售后服务措施、其他优惠措施明确、可行，售后服务明确响应时间、明确出现质量问题解决时间(运营第一个月起每月15分钟内响应，1小时内到达现场处理故障)；产品出现质量问题承诺无条件更换或其它优惠条件，具有售后服务体系认证证明文件，能快速响应配送物资。</w:t>
            </w:r>
          </w:p>
          <w:p w14:paraId="018CE93F">
            <w:pPr>
              <w:spacing w:line="400" w:lineRule="exact"/>
              <w:ind w:firstLine="420" w:firstLineChars="200"/>
              <w:jc w:val="left"/>
              <w:rPr>
                <w:rFonts w:hint="eastAsia"/>
                <w:lang w:val="en-US" w:eastAsia="zh-CN"/>
              </w:rPr>
            </w:pPr>
            <w:r>
              <w:rPr>
                <w:rFonts w:hint="eastAsia" w:ascii="宋体" w:hAnsi="宋体" w:eastAsia="宋体" w:cs="宋体"/>
                <w:bCs/>
                <w:kern w:val="2"/>
                <w:sz w:val="21"/>
                <w:szCs w:val="21"/>
                <w:lang w:eastAsia="zh-CN"/>
              </w:rPr>
              <w:t>注：未提供售后服务方案的不得分。</w:t>
            </w:r>
          </w:p>
        </w:tc>
        <w:tc>
          <w:tcPr>
            <w:tcW w:w="957" w:type="dxa"/>
            <w:noWrap w:val="0"/>
            <w:vAlign w:val="center"/>
          </w:tcPr>
          <w:p w14:paraId="4119E456">
            <w:pPr>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59</w:t>
            </w:r>
            <w:r>
              <w:rPr>
                <w:rFonts w:hint="eastAsia" w:ascii="宋体" w:hAnsi="宋体" w:eastAsia="宋体" w:cs="宋体"/>
                <w:bCs/>
                <w:color w:val="auto"/>
                <w:szCs w:val="21"/>
                <w:highlight w:val="none"/>
                <w:lang w:eastAsia="zh-CN"/>
              </w:rPr>
              <w:t>分</w:t>
            </w:r>
          </w:p>
        </w:tc>
      </w:tr>
      <w:tr w14:paraId="6342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583" w:type="dxa"/>
            <w:noWrap w:val="0"/>
            <w:vAlign w:val="center"/>
          </w:tcPr>
          <w:p w14:paraId="1B279867">
            <w:pPr>
              <w:spacing w:line="4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p>
        </w:tc>
        <w:tc>
          <w:tcPr>
            <w:tcW w:w="762" w:type="dxa"/>
            <w:noWrap w:val="0"/>
            <w:vAlign w:val="center"/>
          </w:tcPr>
          <w:p w14:paraId="42072299">
            <w:pPr>
              <w:spacing w:line="4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商务</w:t>
            </w:r>
            <w:r>
              <w:rPr>
                <w:rFonts w:hint="eastAsia" w:ascii="宋体" w:hAnsi="宋体" w:eastAsia="宋体" w:cs="宋体"/>
                <w:bCs/>
                <w:color w:val="auto"/>
                <w:szCs w:val="21"/>
                <w:highlight w:val="none"/>
                <w:lang w:eastAsia="zh-CN"/>
              </w:rPr>
              <w:t>分</w:t>
            </w:r>
          </w:p>
        </w:tc>
        <w:tc>
          <w:tcPr>
            <w:tcW w:w="7297" w:type="dxa"/>
            <w:noWrap w:val="0"/>
            <w:vAlign w:val="top"/>
          </w:tcPr>
          <w:p w14:paraId="0B5FB9A8">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3.1</w:t>
            </w:r>
            <w:r>
              <w:rPr>
                <w:rFonts w:hint="eastAsia" w:ascii="宋体" w:hAnsi="宋体" w:eastAsia="宋体" w:cs="宋体"/>
                <w:b/>
                <w:bCs/>
                <w:color w:val="auto"/>
                <w:szCs w:val="21"/>
                <w:highlight w:val="none"/>
              </w:rPr>
              <w:t>信誉（满分</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p w14:paraId="479945FD">
            <w:pPr>
              <w:pStyle w:val="6"/>
              <w:spacing w:before="193" w:line="400" w:lineRule="exact"/>
              <w:rPr>
                <w:rFonts w:hint="eastAsia" w:ascii="宋体" w:hAnsi="宋体" w:eastAsia="宋体" w:cs="宋体"/>
                <w:spacing w:val="-1"/>
                <w:sz w:val="21"/>
                <w:szCs w:val="21"/>
                <w:lang w:val="en-US" w:eastAsia="zh-CN"/>
              </w:rPr>
            </w:pP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1</w:t>
            </w:r>
            <w:r>
              <w:rPr>
                <w:rFonts w:hint="eastAsia" w:ascii="宋体" w:hAnsi="宋体" w:eastAsia="宋体" w:cs="宋体"/>
                <w:spacing w:val="-5"/>
                <w:sz w:val="21"/>
                <w:szCs w:val="21"/>
                <w:lang w:eastAsia="zh-CN"/>
              </w:rPr>
              <w:t>）</w:t>
            </w:r>
            <w:r>
              <w:rPr>
                <w:rFonts w:hint="eastAsia" w:cs="宋体"/>
                <w:spacing w:val="-5"/>
                <w:sz w:val="21"/>
                <w:szCs w:val="21"/>
                <w:lang w:eastAsia="zh-CN"/>
              </w:rPr>
              <w:t>供应商</w:t>
            </w:r>
            <w:r>
              <w:rPr>
                <w:rFonts w:hint="eastAsia" w:ascii="宋体" w:hAnsi="宋体" w:eastAsia="宋体" w:cs="宋体"/>
                <w:spacing w:val="-5"/>
                <w:sz w:val="21"/>
                <w:szCs w:val="21"/>
              </w:rPr>
              <w:t>或</w:t>
            </w:r>
            <w:r>
              <w:rPr>
                <w:rFonts w:hint="eastAsia" w:cs="宋体"/>
                <w:spacing w:val="-5"/>
                <w:sz w:val="21"/>
                <w:szCs w:val="21"/>
                <w:lang w:eastAsia="zh-CN"/>
              </w:rPr>
              <w:t>供应商</w:t>
            </w:r>
            <w:r>
              <w:rPr>
                <w:rFonts w:hint="eastAsia" w:ascii="宋体" w:hAnsi="宋体" w:eastAsia="宋体" w:cs="宋体"/>
                <w:spacing w:val="-5"/>
                <w:sz w:val="21"/>
                <w:szCs w:val="21"/>
              </w:rPr>
              <w:t>使用的软</w:t>
            </w:r>
            <w:r>
              <w:rPr>
                <w:rFonts w:hint="eastAsia" w:ascii="宋体" w:hAnsi="宋体" w:eastAsia="宋体" w:cs="宋体"/>
                <w:spacing w:val="6"/>
                <w:sz w:val="21"/>
                <w:szCs w:val="21"/>
              </w:rPr>
              <w:t>件系统厂商具有</w:t>
            </w:r>
            <w:r>
              <w:rPr>
                <w:rFonts w:hint="eastAsia" w:ascii="宋体" w:hAnsi="宋体" w:eastAsia="宋体" w:cs="宋体"/>
                <w:sz w:val="21"/>
                <w:szCs w:val="21"/>
              </w:rPr>
              <w:t>ISO</w:t>
            </w:r>
            <w:r>
              <w:rPr>
                <w:rFonts w:hint="eastAsia" w:ascii="宋体" w:hAnsi="宋体" w:eastAsia="宋体" w:cs="宋体"/>
                <w:spacing w:val="6"/>
                <w:sz w:val="21"/>
                <w:szCs w:val="21"/>
              </w:rPr>
              <w:t>9001质量管</w:t>
            </w:r>
            <w:r>
              <w:rPr>
                <w:rFonts w:hint="eastAsia" w:ascii="宋体" w:hAnsi="宋体" w:eastAsia="宋体" w:cs="宋体"/>
                <w:spacing w:val="3"/>
                <w:sz w:val="21"/>
                <w:szCs w:val="21"/>
              </w:rPr>
              <w:t>理体系认证、环境管理体系认证、</w:t>
            </w:r>
            <w:r>
              <w:rPr>
                <w:rFonts w:hint="eastAsia" w:ascii="宋体" w:hAnsi="宋体" w:eastAsia="宋体" w:cs="宋体"/>
                <w:spacing w:val="-5"/>
                <w:sz w:val="21"/>
                <w:szCs w:val="21"/>
              </w:rPr>
              <w:t>职业健康安全管理体系认证，每个</w:t>
            </w:r>
            <w:r>
              <w:rPr>
                <w:rFonts w:hint="eastAsia" w:ascii="宋体" w:hAnsi="宋体" w:eastAsia="宋体" w:cs="宋体"/>
                <w:spacing w:val="3"/>
                <w:sz w:val="21"/>
                <w:szCs w:val="21"/>
              </w:rPr>
              <w:t>得</w:t>
            </w: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分，满分</w:t>
            </w:r>
            <w:r>
              <w:rPr>
                <w:rFonts w:hint="eastAsia" w:ascii="宋体" w:hAnsi="宋体" w:eastAsia="宋体" w:cs="宋体"/>
                <w:spacing w:val="3"/>
                <w:sz w:val="21"/>
                <w:szCs w:val="21"/>
                <w:lang w:val="en-US" w:eastAsia="zh-CN"/>
              </w:rPr>
              <w:t>9</w:t>
            </w:r>
            <w:r>
              <w:rPr>
                <w:rFonts w:hint="eastAsia" w:ascii="宋体" w:hAnsi="宋体" w:eastAsia="宋体" w:cs="宋体"/>
                <w:spacing w:val="3"/>
                <w:sz w:val="21"/>
                <w:szCs w:val="21"/>
              </w:rPr>
              <w:t>分，且以上证书有效性可登陆中国国家认证认</w:t>
            </w:r>
            <w:r>
              <w:rPr>
                <w:rFonts w:hint="eastAsia" w:ascii="宋体" w:hAnsi="宋体" w:eastAsia="宋体" w:cs="宋体"/>
                <w:spacing w:val="8"/>
                <w:sz w:val="21"/>
                <w:szCs w:val="21"/>
              </w:rPr>
              <w:t>可监督管理委员会网址</w:t>
            </w:r>
            <w:r>
              <w:rPr>
                <w:rFonts w:hint="eastAsia" w:ascii="宋体" w:hAnsi="宋体" w:eastAsia="宋体" w:cs="宋体"/>
                <w:sz w:val="21"/>
                <w:szCs w:val="21"/>
              </w:rPr>
              <w:t>www</w:t>
            </w:r>
            <w:r>
              <w:rPr>
                <w:rFonts w:hint="eastAsia" w:ascii="宋体" w:hAnsi="宋体" w:eastAsia="宋体" w:cs="宋体"/>
                <w:spacing w:val="8"/>
                <w:sz w:val="21"/>
                <w:szCs w:val="21"/>
              </w:rPr>
              <w:t>.</w:t>
            </w:r>
            <w:r>
              <w:rPr>
                <w:rFonts w:hint="eastAsia" w:ascii="宋体" w:hAnsi="宋体" w:eastAsia="宋体" w:cs="宋体"/>
                <w:sz w:val="21"/>
                <w:szCs w:val="21"/>
              </w:rPr>
              <w:t>cnc</w:t>
            </w:r>
            <w:r>
              <w:rPr>
                <w:rFonts w:hint="eastAsia" w:ascii="宋体" w:hAnsi="宋体" w:eastAsia="宋体" w:cs="宋体"/>
                <w:spacing w:val="-1"/>
                <w:sz w:val="21"/>
                <w:szCs w:val="21"/>
              </w:rPr>
              <w:t>a.gov.cn查询</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并提供</w:t>
            </w:r>
            <w:r>
              <w:rPr>
                <w:rFonts w:hint="eastAsia" w:cs="宋体"/>
                <w:spacing w:val="-1"/>
                <w:sz w:val="21"/>
                <w:szCs w:val="21"/>
                <w:lang w:val="en-US" w:eastAsia="zh-CN"/>
              </w:rPr>
              <w:t>相应</w:t>
            </w:r>
            <w:r>
              <w:rPr>
                <w:rFonts w:hint="eastAsia" w:ascii="宋体" w:hAnsi="宋体" w:eastAsia="宋体" w:cs="宋体"/>
                <w:spacing w:val="-1"/>
                <w:sz w:val="21"/>
                <w:szCs w:val="21"/>
                <w:lang w:val="en-US" w:eastAsia="zh-CN"/>
              </w:rPr>
              <w:t>截图。</w:t>
            </w:r>
          </w:p>
          <w:p w14:paraId="723B04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供应商具有医院后勤物资供应管理服务相关的认证证书的，每提供一个得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3876978E">
            <w:pPr>
              <w:pStyle w:val="2"/>
              <w:spacing w:line="400" w:lineRule="exact"/>
              <w:rPr>
                <w:rFonts w:hint="eastAsia"/>
              </w:rPr>
            </w:pPr>
            <w:r>
              <w:rPr>
                <w:rFonts w:hint="eastAsia" w:ascii="宋体" w:hAnsi="宋体" w:eastAsia="宋体" w:cs="宋体"/>
                <w:bCs/>
                <w:kern w:val="2"/>
                <w:sz w:val="21"/>
                <w:szCs w:val="21"/>
                <w:lang w:val="en-US" w:eastAsia="zh-CN" w:bidi="ar-SA"/>
              </w:rPr>
              <w:t>（注：需在首次响应文件中提供相应的有效证明材料复印件并加盖</w:t>
            </w:r>
            <w:r>
              <w:rPr>
                <w:rFonts w:hint="eastAsia" w:hAnsi="宋体" w:eastAsia="宋体" w:cs="宋体"/>
                <w:bCs/>
                <w:kern w:val="2"/>
                <w:sz w:val="21"/>
                <w:szCs w:val="21"/>
                <w:lang w:val="en-US" w:eastAsia="zh-CN" w:bidi="ar-SA"/>
              </w:rPr>
              <w:t>供应商</w:t>
            </w:r>
            <w:r>
              <w:rPr>
                <w:rFonts w:hint="eastAsia" w:ascii="宋体" w:hAnsi="宋体" w:eastAsia="宋体" w:cs="宋体"/>
                <w:bCs/>
                <w:kern w:val="2"/>
                <w:sz w:val="21"/>
                <w:szCs w:val="21"/>
                <w:lang w:val="en-US" w:eastAsia="zh-CN" w:bidi="ar-SA"/>
              </w:rPr>
              <w:t>公章，否则不计分）。</w:t>
            </w:r>
          </w:p>
          <w:p w14:paraId="4390A9D0">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3.2</w:t>
            </w:r>
            <w:r>
              <w:rPr>
                <w:rFonts w:hint="eastAsia" w:ascii="宋体" w:hAnsi="宋体" w:eastAsia="宋体" w:cs="宋体"/>
                <w:b/>
                <w:bCs/>
                <w:color w:val="auto"/>
                <w:szCs w:val="21"/>
                <w:highlight w:val="none"/>
              </w:rPr>
              <w:t>业绩分（满分</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p w14:paraId="04322062">
            <w:pPr>
              <w:pStyle w:val="6"/>
              <w:spacing w:before="193" w:line="36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2"/>
                <w:sz w:val="21"/>
                <w:szCs w:val="21"/>
                <w:lang w:val="en-US" w:eastAsia="zh-CN" w:bidi="ar-SA"/>
              </w:rPr>
              <w:t>供应商2023年以来具有同类后勤物资供应链项目业绩，每个业绩得2分，满分6分。(需在首次响应文件中提供合同复印件或中标（成交）通知书复印件并加盖供应商公章，否则不计分）</w:t>
            </w:r>
          </w:p>
        </w:tc>
        <w:tc>
          <w:tcPr>
            <w:tcW w:w="957" w:type="dxa"/>
            <w:noWrap w:val="0"/>
            <w:vAlign w:val="center"/>
          </w:tcPr>
          <w:p w14:paraId="2A963467">
            <w:pPr>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21</w:t>
            </w:r>
            <w:r>
              <w:rPr>
                <w:rFonts w:hint="eastAsia" w:ascii="宋体" w:hAnsi="宋体" w:eastAsia="宋体" w:cs="宋体"/>
                <w:bCs/>
                <w:color w:val="auto"/>
                <w:szCs w:val="21"/>
                <w:highlight w:val="none"/>
                <w:lang w:eastAsia="zh-CN"/>
              </w:rPr>
              <w:t>分</w:t>
            </w:r>
          </w:p>
        </w:tc>
      </w:tr>
    </w:tbl>
    <w:p w14:paraId="7C782FCC">
      <w:bookmarkStart w:id="0" w:name="_GoBack"/>
      <w:bookmarkEnd w:id="0"/>
    </w:p>
    <w:sectPr>
      <w:pgSz w:w="11906" w:h="16838"/>
      <w:pgMar w:top="1440" w:right="2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A0189"/>
    <w:rsid w:val="33D80EA8"/>
    <w:rsid w:val="4B186BB5"/>
    <w:rsid w:val="778E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2485</Words>
  <Characters>2560</Characters>
  <Lines>0</Lines>
  <Paragraphs>0</Paragraphs>
  <TotalTime>27</TotalTime>
  <ScaleCrop>false</ScaleCrop>
  <LinksUpToDate>false</LinksUpToDate>
  <CharactersWithSpaces>2569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2025-03-25T08:45:00Z</dcterms:created>
  <dc:creator>Administrator</dc:creator>
  <cp:lastModifiedBy>张凯</cp:lastModifiedBy>
  <dcterms:modified xsi:type="dcterms:W3CDTF">2025-04-10T09:20:11Z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eyJoZGlkIjoiN2FjMmUxOWI2NjViMzIxYjQ4OTQwODkyYzk0Mjg0YWIiLCJ1c2VySWQiOiI0NDk3OTkxMDMifQ==</vt:lpwstr>
  </property>
  <property fmtid="{D5CDD505-2E9C-101B-9397-08002B2CF9AE}" pid="4" name="ICV">
    <vt:lpwstr>812715051F5B49B3AB6C4761887D3861_12</vt:lpwstr>
  </property>
</Properties>
</file>